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034"/>
        <w:gridCol w:w="935"/>
        <w:gridCol w:w="2904"/>
        <w:gridCol w:w="1253"/>
        <w:gridCol w:w="1741"/>
        <w:gridCol w:w="900"/>
        <w:gridCol w:w="800"/>
        <w:gridCol w:w="1017"/>
        <w:gridCol w:w="883"/>
        <w:gridCol w:w="100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附件： 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ind w:firstLine="2160" w:firstLineChars="60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2019年度第二批校级质量工程结题项目验收情况汇总表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项目层次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  <w:bookmarkStart w:id="0" w:name="_GoBack"/>
            <w:bookmarkEnd w:id="0"/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项目负责人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项目负责人单位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所属学年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立项时间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计划结项时间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建设周期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验收结果 </w:t>
            </w:r>
            <w:r>
              <w:rPr>
                <w:rStyle w:val="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协同育人平台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校级（重点）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基层治理协同育人平台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陈天祥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公共管理学系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协同育人平台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校级（重点）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创新软件应用研发与人才培养协同育人中心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陈海山、詹俦军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电气与计算机工程学院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教学团队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校级（重点）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艺术设计学专业教学团队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冯原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艺术设计与创意产业系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精品资源共享课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校级（重点）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网店运营实训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钟肖英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人才培养模式创新实验区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校级（重点）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数字媒体艺术人才培养创新实验区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马红波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艺术设计与创意产业系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拔尖创新人才培养计划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校级（重点）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金融创新与无缝隙接轨教学工程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林鸿文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专业综合改革试点项目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校级（重点）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电子商务专业综合改革试点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钟肖英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专业综合改革试点项目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校级（重点）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电气工程及其自动化专业综合改革试点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张巍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电气与计算机工程学院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教学团队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校级（一般）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工商管理教学团队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陈功玉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精品资源共享课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校级（一般）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王丽荣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综合素养学部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精品资源共享课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校级 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初级日语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黄丽婷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2016.12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2019.12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精品资源共享课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校级 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基础护理学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赵飞英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护理与与健康学院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2016.12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2019.12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精品资源共享课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中级日语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张艳军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2017.12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2020.12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人才培养模式创新实验区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校级（一般）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应用型智能实验平台下的人才培养模式创新实验区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苑俊英、郭中华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电气与计算机工程学院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应用型人才培养示范专业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校级（一般）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计算机科学与技术应用型人才培养示范专业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苑俊英、洪维恩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电气与计算机工程学院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拔尖创新人才培养计划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校级（一般）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软件类拔尖创新应用型人才培养计划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谭志国、王刻奇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电气与计算机工程学院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拔尖创新人才培养计划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校级（一般）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音乐剧创新人才培养模式实践研究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徐静莹、程煜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应用型人才培养课程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定格动画短片创作（数字媒体艺术）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邓启耀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艺术设计与创意产业系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2017.5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应用型人才培养课程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动画技法（数字媒体艺术）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马红波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艺术设计与创意产业系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2017.5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应用型人才培养课程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装饰图案设计（艺术设计）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张巍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艺术设计与创意产业系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2017.5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应用型人才培养课程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移动计算机视觉（计算机科学与技术）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闵虎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电气与计算机工程学院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2017.5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应用型人才培养课程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注册会计师审计实务（审计学）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沈亚娟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2017.5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应用型人才培养课程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中级财务会计（会计学）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金迪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2017.5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应用型人才培养课程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组织胚胎学（医学检验技术）</w:t>
            </w:r>
          </w:p>
        </w:tc>
        <w:tc>
          <w:tcPr>
            <w:tcW w:w="4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赵爱明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云康医学与健康管理学院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2017.5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A1679"/>
    <w:rsid w:val="0A1F1CD9"/>
    <w:rsid w:val="12507597"/>
    <w:rsid w:val="1389648C"/>
    <w:rsid w:val="14B074BF"/>
    <w:rsid w:val="16DC7F0B"/>
    <w:rsid w:val="1FA66BD7"/>
    <w:rsid w:val="20DD50A9"/>
    <w:rsid w:val="2C066DEE"/>
    <w:rsid w:val="3DD41F15"/>
    <w:rsid w:val="50E3680B"/>
    <w:rsid w:val="5C476C87"/>
    <w:rsid w:val="5F54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91"/>
    <w:basedOn w:val="3"/>
    <w:uiPriority w:val="0"/>
    <w:rPr>
      <w:rFonts w:hint="eastAsia" w:ascii="黑体" w:hAnsi="宋体" w:eastAsia="黑体" w:cs="黑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36207</dc:creator>
  <cp:lastModifiedBy>雨后见彩虹</cp:lastModifiedBy>
  <dcterms:modified xsi:type="dcterms:W3CDTF">2020-02-24T07:06:25Z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