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right" w:leader="dot" w:pos="14910"/>
        </w:tabs>
      </w:pPr>
    </w:p>
    <w:p>
      <w:pPr>
        <w:pStyle w:val="7"/>
        <w:tabs>
          <w:tab w:val="right" w:leader="dot" w:pos="14910"/>
        </w:tabs>
        <w:jc w:val="center"/>
        <w:rPr>
          <w:rFonts w:hint="eastAsia"/>
          <w:b/>
          <w:bCs/>
          <w:sz w:val="36"/>
          <w:szCs w:val="40"/>
        </w:rPr>
      </w:pPr>
      <w:r>
        <w:rPr>
          <w:rFonts w:hint="eastAsia"/>
          <w:b/>
          <w:bCs/>
          <w:sz w:val="36"/>
          <w:szCs w:val="40"/>
        </w:rPr>
        <w:t>广东省“教学质量与教学改革工程”项目评审指标体系（试行）</w:t>
      </w:r>
    </w:p>
    <w:p>
      <w:pPr>
        <w:jc w:val="center"/>
        <w:rPr>
          <w:rFonts w:hint="eastAsia"/>
          <w:b/>
          <w:bCs/>
          <w:sz w:val="24"/>
          <w:szCs w:val="28"/>
          <w:lang w:eastAsia="zh-CN"/>
        </w:rPr>
      </w:pPr>
    </w:p>
    <w:p>
      <w:pPr>
        <w:jc w:val="center"/>
        <w:rPr>
          <w:b w:val="0"/>
          <w:bCs w:val="0"/>
          <w:sz w:val="24"/>
          <w:szCs w:val="28"/>
        </w:rPr>
      </w:pPr>
      <w:r>
        <w:rPr>
          <w:rFonts w:hint="eastAsia"/>
          <w:b w:val="0"/>
          <w:bCs w:val="0"/>
          <w:sz w:val="32"/>
          <w:szCs w:val="36"/>
          <w:lang w:eastAsia="zh-CN"/>
        </w:rPr>
        <w:t>目录</w:t>
      </w:r>
    </w:p>
    <w:p>
      <w:pPr>
        <w:pStyle w:val="7"/>
        <w:tabs>
          <w:tab w:val="right" w:leader="dot" w:pos="14910"/>
        </w:tabs>
      </w:pPr>
    </w:p>
    <w:p>
      <w:pPr>
        <w:pStyle w:val="7"/>
        <w:tabs>
          <w:tab w:val="right" w:leader="dot" w:pos="14910"/>
        </w:tabs>
      </w:pPr>
      <w:r>
        <w:fldChar w:fldCharType="begin"/>
      </w:r>
      <w:r>
        <w:instrText xml:space="preserve">TOC \o "1-1" \h \u </w:instrText>
      </w:r>
      <w:r>
        <w:fldChar w:fldCharType="separate"/>
      </w:r>
      <w:r>
        <w:rPr>
          <w:rFonts w:hint="eastAsia"/>
          <w:color w:val="auto"/>
          <w:u w:val="none"/>
        </w:rPr>
        <w:fldChar w:fldCharType="begin"/>
      </w:r>
      <w:r>
        <w:rPr>
          <w:rFonts w:hint="eastAsia"/>
          <w:color w:val="auto"/>
          <w:u w:val="none"/>
        </w:rPr>
        <w:instrText xml:space="preserve"> HYPERLINK \l "_广东省专业综合改革试点项目验收指标（试行）" </w:instrText>
      </w:r>
      <w:r>
        <w:rPr>
          <w:rFonts w:hint="eastAsia"/>
          <w:color w:val="auto"/>
          <w:u w:val="none"/>
        </w:rPr>
        <w:fldChar w:fldCharType="separate"/>
      </w:r>
      <w:r>
        <w:rPr>
          <w:rStyle w:val="11"/>
          <w:rFonts w:hint="eastAsia"/>
        </w:rPr>
        <w:t>广东省专业综合改革试点项目验收指标（试行）</w:t>
      </w:r>
      <w:r>
        <w:rPr>
          <w:rStyle w:val="11"/>
        </w:rPr>
        <w:tab/>
      </w:r>
      <w:r>
        <w:rPr>
          <w:rStyle w:val="11"/>
        </w:rPr>
        <w:fldChar w:fldCharType="begin"/>
      </w:r>
      <w:r>
        <w:rPr>
          <w:rStyle w:val="11"/>
        </w:rPr>
        <w:instrText xml:space="preserve"> PAGEREF _Toc7726 </w:instrText>
      </w:r>
      <w:r>
        <w:rPr>
          <w:rStyle w:val="11"/>
        </w:rPr>
        <w:fldChar w:fldCharType="separate"/>
      </w:r>
      <w:r>
        <w:rPr>
          <w:rStyle w:val="11"/>
        </w:rPr>
        <w:t>1</w:t>
      </w:r>
      <w:r>
        <w:rPr>
          <w:rStyle w:val="11"/>
        </w:rPr>
        <w:fldChar w:fldCharType="end"/>
      </w:r>
      <w:r>
        <w:rPr>
          <w:rFonts w:hint="eastAsia"/>
          <w:color w:val="auto"/>
          <w:u w:val="none"/>
        </w:rPr>
        <w:fldChar w:fldCharType="end"/>
      </w:r>
    </w:p>
    <w:p>
      <w:pPr>
        <w:pStyle w:val="7"/>
        <w:tabs>
          <w:tab w:val="right" w:leader="dot" w:pos="14910"/>
        </w:tabs>
      </w:pPr>
      <w:r>
        <w:fldChar w:fldCharType="begin"/>
      </w:r>
      <w:r>
        <w:instrText xml:space="preserve"> HYPERLINK \l _Toc3378 </w:instrText>
      </w:r>
      <w:r>
        <w:fldChar w:fldCharType="separate"/>
      </w:r>
      <w:r>
        <w:rPr>
          <w:rFonts w:hint="eastAsia"/>
        </w:rPr>
        <w:t>广东省本科高校人才培养模式创新实验区验收指标（试行）</w:t>
      </w:r>
      <w:r>
        <w:tab/>
      </w:r>
      <w:r>
        <w:fldChar w:fldCharType="begin"/>
      </w:r>
      <w:r>
        <w:instrText xml:space="preserve"> PAGEREF _Toc3378 </w:instrText>
      </w:r>
      <w:r>
        <w:fldChar w:fldCharType="separate"/>
      </w:r>
      <w:r>
        <w:t>3</w:t>
      </w:r>
      <w:r>
        <w:fldChar w:fldCharType="end"/>
      </w:r>
      <w:r>
        <w:fldChar w:fldCharType="end"/>
      </w:r>
    </w:p>
    <w:p>
      <w:pPr>
        <w:pStyle w:val="7"/>
        <w:tabs>
          <w:tab w:val="right" w:leader="dot" w:pos="14910"/>
        </w:tabs>
      </w:pPr>
      <w:r>
        <w:fldChar w:fldCharType="begin"/>
      </w:r>
      <w:r>
        <w:instrText xml:space="preserve"> HYPERLINK \l _Toc5553 </w:instrText>
      </w:r>
      <w:r>
        <w:fldChar w:fldCharType="separate"/>
      </w:r>
      <w:r>
        <w:rPr>
          <w:rFonts w:hint="eastAsia"/>
        </w:rPr>
        <w:t>广东省精品视频公开课验收指标（试行）</w:t>
      </w:r>
      <w:r>
        <w:tab/>
      </w:r>
      <w:r>
        <w:fldChar w:fldCharType="begin"/>
      </w:r>
      <w:r>
        <w:instrText xml:space="preserve"> PAGEREF _Toc5553 </w:instrText>
      </w:r>
      <w:r>
        <w:fldChar w:fldCharType="separate"/>
      </w:r>
      <w:r>
        <w:t>5</w:t>
      </w:r>
      <w:r>
        <w:fldChar w:fldCharType="end"/>
      </w:r>
      <w:r>
        <w:fldChar w:fldCharType="end"/>
      </w:r>
    </w:p>
    <w:p>
      <w:pPr>
        <w:pStyle w:val="7"/>
        <w:tabs>
          <w:tab w:val="right" w:leader="dot" w:pos="14910"/>
        </w:tabs>
      </w:pPr>
      <w:r>
        <w:fldChar w:fldCharType="begin"/>
      </w:r>
      <w:r>
        <w:instrText xml:space="preserve"> HYPERLINK \l _Toc20485 </w:instrText>
      </w:r>
      <w:r>
        <w:fldChar w:fldCharType="separate"/>
      </w:r>
      <w:r>
        <w:rPr>
          <w:rFonts w:hint="eastAsia"/>
        </w:rPr>
        <w:t>广东省精品资源共享课验收指标（试行）</w:t>
      </w:r>
      <w:r>
        <w:tab/>
      </w:r>
      <w:r>
        <w:fldChar w:fldCharType="begin"/>
      </w:r>
      <w:r>
        <w:instrText xml:space="preserve"> PAGEREF _Toc20485 </w:instrText>
      </w:r>
      <w:r>
        <w:fldChar w:fldCharType="separate"/>
      </w:r>
      <w:r>
        <w:t>6</w:t>
      </w:r>
      <w:r>
        <w:fldChar w:fldCharType="end"/>
      </w:r>
      <w:r>
        <w:fldChar w:fldCharType="end"/>
      </w:r>
    </w:p>
    <w:p>
      <w:pPr>
        <w:pStyle w:val="7"/>
        <w:tabs>
          <w:tab w:val="right" w:leader="dot" w:pos="14910"/>
        </w:tabs>
      </w:pPr>
      <w:r>
        <w:fldChar w:fldCharType="begin"/>
      </w:r>
      <w:r>
        <w:instrText xml:space="preserve"> HYPERLINK \l _Toc26694 </w:instrText>
      </w:r>
      <w:r>
        <w:fldChar w:fldCharType="separate"/>
      </w:r>
      <w:r>
        <w:rPr>
          <w:rFonts w:hint="eastAsia"/>
        </w:rPr>
        <w:t>广东省高等教育教学改革项目验收指标（试行）</w:t>
      </w:r>
      <w:r>
        <w:tab/>
      </w:r>
      <w:r>
        <w:fldChar w:fldCharType="begin"/>
      </w:r>
      <w:r>
        <w:instrText xml:space="preserve"> PAGEREF _Toc26694 </w:instrText>
      </w:r>
      <w:r>
        <w:fldChar w:fldCharType="separate"/>
      </w:r>
      <w:r>
        <w:t>8</w:t>
      </w:r>
      <w:r>
        <w:fldChar w:fldCharType="end"/>
      </w:r>
      <w:r>
        <w:fldChar w:fldCharType="end"/>
      </w:r>
    </w:p>
    <w:p>
      <w:pPr>
        <w:pStyle w:val="7"/>
        <w:tabs>
          <w:tab w:val="right" w:leader="dot" w:pos="14910"/>
        </w:tabs>
      </w:pPr>
      <w:r>
        <w:fldChar w:fldCharType="begin"/>
      </w:r>
      <w:r>
        <w:instrText xml:space="preserve"> HYPERLINK \l _Toc16825 </w:instrText>
      </w:r>
      <w:r>
        <w:fldChar w:fldCharType="separate"/>
      </w:r>
      <w:r>
        <w:rPr>
          <w:rFonts w:hint="eastAsia"/>
        </w:rPr>
        <w:t>广东省普通高等学校特色专业建设点评审指标（试行）</w:t>
      </w:r>
      <w:r>
        <w:tab/>
      </w:r>
      <w:r>
        <w:fldChar w:fldCharType="begin"/>
      </w:r>
      <w:r>
        <w:instrText xml:space="preserve"> PAGEREF _Toc16825 </w:instrText>
      </w:r>
      <w:r>
        <w:fldChar w:fldCharType="separate"/>
      </w:r>
      <w:r>
        <w:t>9</w:t>
      </w:r>
      <w:r>
        <w:fldChar w:fldCharType="end"/>
      </w:r>
      <w:r>
        <w:fldChar w:fldCharType="end"/>
      </w:r>
    </w:p>
    <w:p>
      <w:pPr>
        <w:pStyle w:val="7"/>
        <w:tabs>
          <w:tab w:val="right" w:leader="dot" w:pos="14910"/>
        </w:tabs>
      </w:pPr>
      <w:r>
        <w:fldChar w:fldCharType="begin"/>
      </w:r>
      <w:r>
        <w:instrText xml:space="preserve"> HYPERLINK \l _Toc9959 </w:instrText>
      </w:r>
      <w:r>
        <w:fldChar w:fldCharType="separate"/>
      </w:r>
      <w:r>
        <w:rPr>
          <w:rFonts w:hint="eastAsia"/>
        </w:rPr>
        <w:t>广东省教学团队验收标准（试行）</w:t>
      </w:r>
      <w:r>
        <w:tab/>
      </w:r>
      <w:r>
        <w:fldChar w:fldCharType="begin"/>
      </w:r>
      <w:r>
        <w:instrText xml:space="preserve"> PAGEREF _Toc9959 </w:instrText>
      </w:r>
      <w:r>
        <w:fldChar w:fldCharType="separate"/>
      </w:r>
      <w:r>
        <w:t>11</w:t>
      </w:r>
      <w:r>
        <w:fldChar w:fldCharType="end"/>
      </w:r>
      <w:r>
        <w:fldChar w:fldCharType="end"/>
      </w:r>
    </w:p>
    <w:p>
      <w:pPr>
        <w:pStyle w:val="7"/>
        <w:tabs>
          <w:tab w:val="right" w:leader="dot" w:pos="14910"/>
        </w:tabs>
      </w:pPr>
      <w:r>
        <w:fldChar w:fldCharType="begin"/>
      </w:r>
      <w:r>
        <w:instrText xml:space="preserve"> HYPERLINK \l _Toc23097 </w:instrText>
      </w:r>
      <w:r>
        <w:fldChar w:fldCharType="separate"/>
      </w:r>
      <w:r>
        <w:rPr>
          <w:rFonts w:hint="eastAsia"/>
        </w:rPr>
        <w:t>广东省大学生校外实践教学基地验收评审指标体系（试行）</w:t>
      </w:r>
      <w:r>
        <w:tab/>
      </w:r>
      <w:r>
        <w:fldChar w:fldCharType="begin"/>
      </w:r>
      <w:r>
        <w:instrText xml:space="preserve"> PAGEREF _Toc23097 </w:instrText>
      </w:r>
      <w:r>
        <w:fldChar w:fldCharType="separate"/>
      </w:r>
      <w:r>
        <w:t>13</w:t>
      </w:r>
      <w:r>
        <w:fldChar w:fldCharType="end"/>
      </w:r>
      <w:r>
        <w:fldChar w:fldCharType="end"/>
      </w:r>
    </w:p>
    <w:p>
      <w:pPr>
        <w:pStyle w:val="7"/>
        <w:tabs>
          <w:tab w:val="right" w:leader="dot" w:pos="14910"/>
        </w:tabs>
      </w:pPr>
      <w:r>
        <w:fldChar w:fldCharType="begin"/>
      </w:r>
      <w:r>
        <w:instrText xml:space="preserve"> HYPERLINK \l _Toc12644 </w:instrText>
      </w:r>
      <w:r>
        <w:fldChar w:fldCharType="separate"/>
      </w:r>
      <w:r>
        <w:rPr>
          <w:rFonts w:hint="eastAsia"/>
        </w:rPr>
        <w:t>广东省省实验教学示范中心验收评审指标体系（试行）</w:t>
      </w:r>
      <w:r>
        <w:tab/>
      </w:r>
      <w:r>
        <w:fldChar w:fldCharType="begin"/>
      </w:r>
      <w:r>
        <w:instrText xml:space="preserve"> PAGEREF _Toc12644 </w:instrText>
      </w:r>
      <w:r>
        <w:fldChar w:fldCharType="separate"/>
      </w:r>
      <w:r>
        <w:t>15</w:t>
      </w:r>
      <w:r>
        <w:fldChar w:fldCharType="end"/>
      </w:r>
      <w:r>
        <w:fldChar w:fldCharType="end"/>
      </w:r>
    </w:p>
    <w:p>
      <w:pPr>
        <w:pStyle w:val="7"/>
        <w:tabs>
          <w:tab w:val="right" w:leader="dot" w:pos="14910"/>
        </w:tabs>
      </w:pPr>
      <w:r>
        <w:fldChar w:fldCharType="begin"/>
      </w:r>
      <w:r>
        <w:instrText xml:space="preserve"> HYPERLINK \l _Toc19313 </w:instrText>
      </w:r>
      <w:r>
        <w:fldChar w:fldCharType="separate"/>
      </w:r>
      <w:r>
        <w:rPr>
          <w:rFonts w:hint="eastAsia"/>
        </w:rPr>
        <w:t>广东省大学生应用型人才培养示范基地验收评审指标体系（试行）</w:t>
      </w:r>
      <w:r>
        <w:tab/>
      </w:r>
      <w:r>
        <w:fldChar w:fldCharType="begin"/>
      </w:r>
      <w:r>
        <w:instrText xml:space="preserve"> PAGEREF _Toc19313 </w:instrText>
      </w:r>
      <w:r>
        <w:fldChar w:fldCharType="separate"/>
      </w:r>
      <w:r>
        <w:t>16</w:t>
      </w:r>
      <w:r>
        <w:fldChar w:fldCharType="end"/>
      </w:r>
      <w:r>
        <w:fldChar w:fldCharType="end"/>
      </w:r>
    </w:p>
    <w:p>
      <w:pPr>
        <w:pStyle w:val="7"/>
        <w:tabs>
          <w:tab w:val="right" w:leader="dot" w:pos="14910"/>
        </w:tabs>
      </w:pPr>
      <w:r>
        <w:fldChar w:fldCharType="begin"/>
      </w:r>
      <w:r>
        <w:instrText xml:space="preserve"> HYPERLINK \l _Toc1482 </w:instrText>
      </w:r>
      <w:r>
        <w:fldChar w:fldCharType="separate"/>
      </w:r>
      <w:r>
        <w:rPr>
          <w:rFonts w:hint="eastAsia"/>
        </w:rPr>
        <w:t>广东省普通高等学校应用型人才培养示范专业/战略新兴产业特色专业评审指标（试行）</w:t>
      </w:r>
      <w:r>
        <w:tab/>
      </w:r>
      <w:r>
        <w:fldChar w:fldCharType="begin"/>
      </w:r>
      <w:r>
        <w:instrText xml:space="preserve"> PAGEREF _Toc1482 </w:instrText>
      </w:r>
      <w:r>
        <w:fldChar w:fldCharType="separate"/>
      </w:r>
      <w:r>
        <w:t>17</w:t>
      </w:r>
      <w:r>
        <w:fldChar w:fldCharType="end"/>
      </w:r>
      <w:r>
        <w:fldChar w:fldCharType="end"/>
      </w:r>
    </w:p>
    <w:p>
      <w:pPr>
        <w:pStyle w:val="7"/>
        <w:tabs>
          <w:tab w:val="right" w:leader="dot" w:pos="14910"/>
        </w:tabs>
      </w:pPr>
      <w:r>
        <w:fldChar w:fldCharType="begin"/>
      </w:r>
      <w:r>
        <w:instrText xml:space="preserve"> HYPERLINK \l _Toc18352 </w:instrText>
      </w:r>
      <w:r>
        <w:fldChar w:fldCharType="separate"/>
      </w:r>
      <w:r>
        <w:rPr>
          <w:rFonts w:hint="eastAsia"/>
        </w:rPr>
        <w:t>广东省本科高校卓越人才培养计划项目验收指标体系（试行）</w:t>
      </w:r>
      <w:r>
        <w:tab/>
      </w:r>
      <w:r>
        <w:fldChar w:fldCharType="begin"/>
      </w:r>
      <w:r>
        <w:instrText xml:space="preserve"> PAGEREF _Toc18352 </w:instrText>
      </w:r>
      <w:r>
        <w:fldChar w:fldCharType="separate"/>
      </w:r>
      <w:r>
        <w:t>19</w:t>
      </w:r>
      <w:r>
        <w:fldChar w:fldCharType="end"/>
      </w:r>
      <w:r>
        <w:fldChar w:fldCharType="end"/>
      </w:r>
    </w:p>
    <w:p>
      <w:pPr>
        <w:pStyle w:val="7"/>
        <w:tabs>
          <w:tab w:val="right" w:leader="dot" w:pos="14910"/>
        </w:tabs>
      </w:pPr>
      <w:r>
        <w:fldChar w:fldCharType="begin"/>
      </w:r>
      <w:r>
        <w:instrText xml:space="preserve"> HYPERLINK \l _Toc20445 </w:instrText>
      </w:r>
      <w:r>
        <w:fldChar w:fldCharType="separate"/>
      </w:r>
      <w:r>
        <w:rPr>
          <w:rFonts w:hint="eastAsia"/>
        </w:rPr>
        <w:t>广东省本科高校试点学院验收指标体系（试行）</w:t>
      </w:r>
      <w:r>
        <w:tab/>
      </w:r>
      <w:r>
        <w:fldChar w:fldCharType="begin"/>
      </w:r>
      <w:r>
        <w:instrText xml:space="preserve"> PAGEREF _Toc20445 </w:instrText>
      </w:r>
      <w:r>
        <w:fldChar w:fldCharType="separate"/>
      </w:r>
      <w:r>
        <w:t>20</w:t>
      </w:r>
      <w:r>
        <w:fldChar w:fldCharType="end"/>
      </w:r>
      <w:r>
        <w:fldChar w:fldCharType="end"/>
      </w:r>
    </w:p>
    <w:p>
      <w:pPr>
        <w:pStyle w:val="7"/>
        <w:tabs>
          <w:tab w:val="right" w:leader="dot" w:pos="14910"/>
        </w:tabs>
      </w:pPr>
      <w:r>
        <w:fldChar w:fldCharType="begin"/>
      </w:r>
      <w:r>
        <w:instrText xml:space="preserve"> HYPERLINK \l _Toc11179 </w:instrText>
      </w:r>
      <w:r>
        <w:fldChar w:fldCharType="separate"/>
      </w:r>
      <w:r>
        <w:rPr>
          <w:rFonts w:hint="eastAsia"/>
          <w:lang w:val="en-US" w:eastAsia="zh-CN"/>
        </w:rPr>
        <w:t>广东省教师教学发展中心验收指标体系</w:t>
      </w:r>
      <w:r>
        <w:tab/>
      </w:r>
      <w:r>
        <w:fldChar w:fldCharType="begin"/>
      </w:r>
      <w:r>
        <w:instrText xml:space="preserve"> PAGEREF _Toc11179 </w:instrText>
      </w:r>
      <w:r>
        <w:fldChar w:fldCharType="separate"/>
      </w:r>
      <w:r>
        <w:t>22</w:t>
      </w:r>
      <w:r>
        <w:fldChar w:fldCharType="end"/>
      </w:r>
      <w:r>
        <w:fldChar w:fldCharType="end"/>
      </w:r>
    </w:p>
    <w:p>
      <w:pPr>
        <w:pStyle w:val="7"/>
        <w:tabs>
          <w:tab w:val="right" w:leader="dot" w:pos="14910"/>
        </w:tabs>
      </w:pPr>
      <w:r>
        <w:fldChar w:fldCharType="begin"/>
      </w:r>
      <w:r>
        <w:instrText xml:space="preserve"> HYPERLINK \l _Toc24949 </w:instrText>
      </w:r>
      <w:r>
        <w:fldChar w:fldCharType="separate"/>
      </w:r>
      <w:r>
        <w:rPr>
          <w:rFonts w:hint="eastAsia"/>
        </w:rPr>
        <w:t>广东省本科高校在线开放课程建设上线标准(试行</w:t>
      </w:r>
      <w:r>
        <w:t>)</w:t>
      </w:r>
      <w:r>
        <w:tab/>
      </w:r>
      <w:r>
        <w:fldChar w:fldCharType="begin"/>
      </w:r>
      <w:r>
        <w:instrText xml:space="preserve"> PAGEREF _Toc24949 </w:instrText>
      </w:r>
      <w:r>
        <w:fldChar w:fldCharType="separate"/>
      </w:r>
      <w:r>
        <w:t>24</w:t>
      </w:r>
      <w:r>
        <w:fldChar w:fldCharType="end"/>
      </w:r>
      <w:r>
        <w:fldChar w:fldCharType="end"/>
      </w:r>
    </w:p>
    <w:p>
      <w:r>
        <w:fldChar w:fldCharType="end"/>
      </w:r>
    </w:p>
    <w:p>
      <w:pPr>
        <w:pStyle w:val="2"/>
        <w:bidi w:val="0"/>
        <w:outlineLvl w:val="0"/>
        <w:rPr>
          <w:rFonts w:hint="eastAsia"/>
        </w:rPr>
        <w:sectPr>
          <w:pgSz w:w="16838" w:h="11906" w:orient="landscape"/>
          <w:pgMar w:top="964" w:right="964" w:bottom="964" w:left="964" w:header="851" w:footer="992" w:gutter="0"/>
          <w:pgNumType w:fmt="decimal" w:start="1"/>
          <w:cols w:space="425" w:num="1"/>
          <w:docGrid w:type="lines" w:linePitch="312" w:charSpace="0"/>
        </w:sectPr>
      </w:pPr>
      <w:bookmarkStart w:id="0" w:name="_Toc7726"/>
    </w:p>
    <w:p>
      <w:pPr>
        <w:pStyle w:val="2"/>
        <w:bidi w:val="0"/>
        <w:outlineLvl w:val="0"/>
        <w:rPr>
          <w:rFonts w:ascii="仿宋_GB2312" w:eastAsia="仿宋_GB2312"/>
          <w:b/>
          <w:szCs w:val="30"/>
        </w:rPr>
      </w:pPr>
      <w:bookmarkStart w:id="1" w:name="_广东省专业综合改革试点项目验收指标（试行）"/>
      <w:r>
        <w:rPr>
          <w:rFonts w:hint="eastAsia"/>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lang w:eastAsia="zh-CN"/>
        </w:rPr>
        <w:instrText xml:space="preserve">ADDIN CNKISM.UserStyle</w:instrText>
      </w:r>
      <w:r>
        <w:rPr>
          <w:rFonts w:hint="eastAsia"/>
        </w:rPr>
        <w:fldChar w:fldCharType="separate"/>
      </w:r>
      <w:r>
        <w:rPr>
          <w:rFonts w:hint="eastAsia"/>
        </w:rPr>
        <w:fldChar w:fldCharType="end"/>
      </w:r>
      <w:r>
        <w:rPr>
          <w:rFonts w:hint="eastAsia"/>
        </w:rPr>
        <w:t>广东省专业综合改革试点项目验收指标（试行）</w:t>
      </w:r>
      <w:bookmarkEnd w:id="0"/>
    </w:p>
    <w:bookmarkEnd w:id="1"/>
    <w:p>
      <w:pPr>
        <w:jc w:val="center"/>
        <w:rPr>
          <w:rFonts w:ascii="仿宋_GB2312" w:eastAsia="仿宋_GB2312"/>
          <w:b/>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 LINK Excel.Sheet.8 "C:\\Users\\user\\Desktop\\20160114质量工程项目验收文件汇总\\项目验收指标体系汇总\\专业综合改革项目指标导入模板.xls" "Sheet1!R2C1:R16C7" \a \f 4 \h  \* MERGEFORMAT </w:instrText>
      </w:r>
      <w:r>
        <w:rPr>
          <w:rFonts w:hint="eastAsia" w:ascii="仿宋_GB2312" w:eastAsia="仿宋_GB2312"/>
          <w:sz w:val="24"/>
          <w:szCs w:val="24"/>
        </w:rPr>
        <w:fldChar w:fldCharType="separate"/>
      </w:r>
    </w:p>
    <w:tbl>
      <w:tblPr>
        <w:tblStyle w:val="9"/>
        <w:tblW w:w="14939" w:type="dxa"/>
        <w:jc w:val="center"/>
        <w:tblLayout w:type="autofit"/>
        <w:tblCellMar>
          <w:top w:w="0" w:type="dxa"/>
          <w:left w:w="108" w:type="dxa"/>
          <w:bottom w:w="0" w:type="dxa"/>
          <w:right w:w="108" w:type="dxa"/>
        </w:tblCellMar>
      </w:tblPr>
      <w:tblGrid>
        <w:gridCol w:w="2501"/>
        <w:gridCol w:w="3277"/>
        <w:gridCol w:w="9161"/>
      </w:tblGrid>
      <w:tr>
        <w:tblPrEx>
          <w:tblCellMar>
            <w:top w:w="0" w:type="dxa"/>
            <w:left w:w="108" w:type="dxa"/>
            <w:bottom w:w="0" w:type="dxa"/>
            <w:right w:w="108" w:type="dxa"/>
          </w:tblCellMar>
        </w:tblPrEx>
        <w:trPr>
          <w:trHeight w:val="567" w:hRule="exact"/>
          <w:jc w:val="center"/>
        </w:trPr>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916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评价标准</w:t>
            </w:r>
          </w:p>
        </w:tc>
      </w:tr>
      <w:tr>
        <w:tblPrEx>
          <w:tblCellMar>
            <w:top w:w="0" w:type="dxa"/>
            <w:left w:w="108" w:type="dxa"/>
            <w:bottom w:w="0" w:type="dxa"/>
            <w:right w:w="108" w:type="dxa"/>
          </w:tblCellMar>
        </w:tblPrEx>
        <w:trPr>
          <w:trHeight w:val="567" w:hRule="exact"/>
          <w:jc w:val="center"/>
        </w:trPr>
        <w:tc>
          <w:tcPr>
            <w:tcW w:w="25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1．基本情况（8分）</w:t>
            </w: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基本完成了申报时预设的各项建设目标 。</w:t>
            </w:r>
          </w:p>
        </w:tc>
      </w:tr>
      <w:tr>
        <w:tblPrEx>
          <w:tblCellMar>
            <w:top w:w="0" w:type="dxa"/>
            <w:left w:w="108" w:type="dxa"/>
            <w:bottom w:w="0" w:type="dxa"/>
            <w:right w:w="108" w:type="dxa"/>
          </w:tblCellMar>
        </w:tblPrEx>
        <w:trPr>
          <w:trHeight w:val="567"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建设思路</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建设思路清晰，优势和特色显著。</w:t>
            </w:r>
          </w:p>
        </w:tc>
      </w:tr>
      <w:tr>
        <w:tblPrEx>
          <w:tblCellMar>
            <w:top w:w="0" w:type="dxa"/>
            <w:left w:w="108" w:type="dxa"/>
            <w:bottom w:w="0" w:type="dxa"/>
            <w:right w:w="108" w:type="dxa"/>
          </w:tblCellMar>
        </w:tblPrEx>
        <w:trPr>
          <w:trHeight w:val="757" w:hRule="exact"/>
          <w:jc w:val="center"/>
        </w:trPr>
        <w:tc>
          <w:tcPr>
            <w:tcW w:w="25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2．师资队伍（15分）</w:t>
            </w: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数量与结构</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项目负责人（专业带头人）具有高级专业技术职务，教学改革能力突出，全程统筹项目建设。师资队伍结构合理，专兼职结合，教授/副教授比例较高，整体水平高。</w:t>
            </w:r>
          </w:p>
        </w:tc>
      </w:tr>
      <w:tr>
        <w:tblPrEx>
          <w:tblCellMar>
            <w:top w:w="0" w:type="dxa"/>
            <w:left w:w="108" w:type="dxa"/>
            <w:bottom w:w="0" w:type="dxa"/>
            <w:right w:w="108" w:type="dxa"/>
          </w:tblCellMar>
        </w:tblPrEx>
        <w:trPr>
          <w:trHeight w:val="567"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教学团队</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依托专业建设有省级以上教学团队，制定并实施团队成员培训规划。</w:t>
            </w:r>
          </w:p>
        </w:tc>
      </w:tr>
      <w:tr>
        <w:tblPrEx>
          <w:tblCellMar>
            <w:top w:w="0" w:type="dxa"/>
            <w:left w:w="108" w:type="dxa"/>
            <w:bottom w:w="0" w:type="dxa"/>
            <w:right w:w="108" w:type="dxa"/>
          </w:tblCellMar>
        </w:tblPrEx>
        <w:trPr>
          <w:trHeight w:val="567"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教学奖励情况</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依托专业综合改革成果获得省部级以上教学成果奖。</w:t>
            </w:r>
          </w:p>
        </w:tc>
      </w:tr>
      <w:tr>
        <w:tblPrEx>
          <w:tblCellMar>
            <w:top w:w="0" w:type="dxa"/>
            <w:left w:w="108" w:type="dxa"/>
            <w:bottom w:w="0" w:type="dxa"/>
            <w:right w:w="108" w:type="dxa"/>
          </w:tblCellMar>
        </w:tblPrEx>
        <w:trPr>
          <w:trHeight w:val="699" w:hRule="exact"/>
          <w:jc w:val="center"/>
        </w:trPr>
        <w:tc>
          <w:tcPr>
            <w:tcW w:w="2501" w:type="dxa"/>
            <w:vMerge w:val="restart"/>
            <w:tcBorders>
              <w:top w:val="nil"/>
              <w:left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3．教学建设（20分）</w:t>
            </w: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经费投入</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用于实验室（实习基地）建设、图书资料、课程建设、教材建设的经费充足，立项建设以来持续增长。</w:t>
            </w:r>
          </w:p>
        </w:tc>
      </w:tr>
      <w:tr>
        <w:tblPrEx>
          <w:tblCellMar>
            <w:top w:w="0" w:type="dxa"/>
            <w:left w:w="108" w:type="dxa"/>
            <w:bottom w:w="0" w:type="dxa"/>
            <w:right w:w="108" w:type="dxa"/>
          </w:tblCellMar>
        </w:tblPrEx>
        <w:trPr>
          <w:trHeight w:val="567" w:hRule="exact"/>
          <w:jc w:val="center"/>
        </w:trPr>
        <w:tc>
          <w:tcPr>
            <w:tcW w:w="2501" w:type="dxa"/>
            <w:vMerge w:val="continue"/>
            <w:tcBorders>
              <w:left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实验室、实习基地建设</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实验室、实习基地和图书资料等能满足培养高素质人才的需求。</w:t>
            </w:r>
          </w:p>
        </w:tc>
      </w:tr>
      <w:tr>
        <w:tblPrEx>
          <w:tblCellMar>
            <w:top w:w="0" w:type="dxa"/>
            <w:left w:w="108" w:type="dxa"/>
            <w:bottom w:w="0" w:type="dxa"/>
            <w:right w:w="108" w:type="dxa"/>
          </w:tblCellMar>
        </w:tblPrEx>
        <w:trPr>
          <w:trHeight w:val="873" w:hRule="exact"/>
          <w:jc w:val="center"/>
        </w:trPr>
        <w:tc>
          <w:tcPr>
            <w:tcW w:w="2501" w:type="dxa"/>
            <w:vMerge w:val="continue"/>
            <w:tcBorders>
              <w:left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课程和教材建设</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优化课程设置，形成具有鲜明特色的专业核心课程群；依托专业综合改革项目，形成一系列高水平的教材成果。</w:t>
            </w:r>
          </w:p>
        </w:tc>
      </w:tr>
      <w:tr>
        <w:tblPrEx>
          <w:tblCellMar>
            <w:top w:w="0" w:type="dxa"/>
            <w:left w:w="108" w:type="dxa"/>
            <w:bottom w:w="0" w:type="dxa"/>
            <w:right w:w="108" w:type="dxa"/>
          </w:tblCellMar>
        </w:tblPrEx>
        <w:trPr>
          <w:trHeight w:val="847" w:hRule="exact"/>
          <w:jc w:val="center"/>
        </w:trPr>
        <w:tc>
          <w:tcPr>
            <w:tcW w:w="2501" w:type="dxa"/>
            <w:vMerge w:val="continue"/>
            <w:tcBorders>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管理制度建设</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更新教学管理理念，加强教学过程管理，建立严格的教学管理制度；根据学科和行业发展要求，结合本专业特点，研究制定专业的教学质量保障体系。</w:t>
            </w:r>
          </w:p>
        </w:tc>
      </w:tr>
      <w:tr>
        <w:tblPrEx>
          <w:tblCellMar>
            <w:top w:w="0" w:type="dxa"/>
            <w:left w:w="108" w:type="dxa"/>
            <w:bottom w:w="0" w:type="dxa"/>
            <w:right w:w="108" w:type="dxa"/>
          </w:tblCellMar>
        </w:tblPrEx>
        <w:trPr>
          <w:trHeight w:val="859" w:hRule="exact"/>
          <w:jc w:val="center"/>
        </w:trPr>
        <w:tc>
          <w:tcPr>
            <w:tcW w:w="2501" w:type="dxa"/>
            <w:vMerge w:val="restart"/>
            <w:tcBorders>
              <w:top w:val="nil"/>
              <w:left w:val="single" w:color="auto" w:sz="4" w:space="0"/>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4．教学改革（30分）</w:t>
            </w: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教学内容改革</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教学内容与课程体系改革符合创新创业人才培养的要求，能集成、整合、深化已有教学改革成果，重视对学生实践能力，创新精神和创业能力的培养。</w:t>
            </w:r>
          </w:p>
        </w:tc>
      </w:tr>
      <w:tr>
        <w:tblPrEx>
          <w:tblCellMar>
            <w:top w:w="0" w:type="dxa"/>
            <w:left w:w="108" w:type="dxa"/>
            <w:bottom w:w="0" w:type="dxa"/>
            <w:right w:w="108" w:type="dxa"/>
          </w:tblCellMar>
        </w:tblPrEx>
        <w:trPr>
          <w:trHeight w:val="857" w:hRule="exact"/>
          <w:jc w:val="center"/>
        </w:trPr>
        <w:tc>
          <w:tcPr>
            <w:tcW w:w="2501" w:type="dxa"/>
            <w:vMerge w:val="continue"/>
            <w:tcBorders>
              <w:top w:val="nil"/>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教学方法改革</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实行互动式、研究型教学，在专业内推广小班授课，注重学生学习能力和综合素质考核、实行多元考核方式，主动将科研成果带入专业教学。</w:t>
            </w:r>
          </w:p>
        </w:tc>
      </w:tr>
      <w:tr>
        <w:tblPrEx>
          <w:tblCellMar>
            <w:top w:w="0" w:type="dxa"/>
            <w:left w:w="108" w:type="dxa"/>
            <w:bottom w:w="0" w:type="dxa"/>
            <w:right w:w="108" w:type="dxa"/>
          </w:tblCellMar>
        </w:tblPrEx>
        <w:trPr>
          <w:trHeight w:val="1145" w:hRule="exact"/>
          <w:jc w:val="center"/>
        </w:trPr>
        <w:tc>
          <w:tcPr>
            <w:tcW w:w="2501" w:type="dxa"/>
            <w:vMerge w:val="continue"/>
            <w:tcBorders>
              <w:top w:val="nil"/>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实践教学改革</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积极开展实践教学，培养学生发现、分析和解决问题的能力，开出实验数量、质量符合课程教学要求；实践教学体系完善，依托专业建设的省级以上校内或校外实践教学基地不少于1个。</w:t>
            </w:r>
          </w:p>
        </w:tc>
      </w:tr>
      <w:tr>
        <w:tblPrEx>
          <w:tblCellMar>
            <w:top w:w="0" w:type="dxa"/>
            <w:left w:w="108" w:type="dxa"/>
            <w:bottom w:w="0" w:type="dxa"/>
            <w:right w:w="108" w:type="dxa"/>
          </w:tblCellMar>
        </w:tblPrEx>
        <w:trPr>
          <w:trHeight w:val="849" w:hRule="exact"/>
          <w:jc w:val="center"/>
        </w:trPr>
        <w:tc>
          <w:tcPr>
            <w:tcW w:w="25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5．人才培养质量（15分）</w:t>
            </w: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人才培养方案</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培养目标符合创新创业人才成长需要，培养规格定位准确；人才培养方案细致、可操作性强，依托专业建设了实验教学示范中心或人才培养模式创新实验区。</w:t>
            </w:r>
          </w:p>
        </w:tc>
      </w:tr>
      <w:tr>
        <w:tblPrEx>
          <w:tblCellMar>
            <w:top w:w="0" w:type="dxa"/>
            <w:left w:w="108" w:type="dxa"/>
            <w:bottom w:w="0" w:type="dxa"/>
            <w:right w:w="108" w:type="dxa"/>
          </w:tblCellMar>
        </w:tblPrEx>
        <w:trPr>
          <w:trHeight w:val="832"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创新精神及实践能力</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学生创新精神和实践能力普遍较强，创新成果较多；学生在校期间参加省级及以上各类竞赛并获奖。</w:t>
            </w:r>
          </w:p>
        </w:tc>
      </w:tr>
      <w:tr>
        <w:tblPrEx>
          <w:tblCellMar>
            <w:top w:w="0" w:type="dxa"/>
            <w:left w:w="108" w:type="dxa"/>
            <w:bottom w:w="0" w:type="dxa"/>
            <w:right w:w="108" w:type="dxa"/>
          </w:tblCellMar>
        </w:tblPrEx>
        <w:trPr>
          <w:trHeight w:val="1129"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服务社会能力</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专业建设能密切联系本地经济社会发展，在与产业和行业企业协同育人领域成效显著，建立了持久、高效的工作体制机制；毕业生广泛受到用人单位好评，初次就业率较高。</w:t>
            </w:r>
          </w:p>
        </w:tc>
      </w:tr>
      <w:tr>
        <w:tblPrEx>
          <w:tblCellMar>
            <w:top w:w="0" w:type="dxa"/>
            <w:left w:w="108" w:type="dxa"/>
            <w:bottom w:w="0" w:type="dxa"/>
            <w:right w:w="108" w:type="dxa"/>
          </w:tblCellMar>
        </w:tblPrEx>
        <w:trPr>
          <w:trHeight w:val="861" w:hRule="exact"/>
          <w:jc w:val="center"/>
        </w:trPr>
        <w:tc>
          <w:tcPr>
            <w:tcW w:w="2501"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6．建设成果（12分）</w:t>
            </w:r>
          </w:p>
        </w:tc>
        <w:tc>
          <w:tcPr>
            <w:tcW w:w="32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建设成果的创新性</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建设成果为原创，创新性强；起到一定的示范作用和对教学改革起到促进作用。</w:t>
            </w:r>
          </w:p>
        </w:tc>
      </w:tr>
      <w:tr>
        <w:tblPrEx>
          <w:tblCellMar>
            <w:top w:w="0" w:type="dxa"/>
            <w:left w:w="108" w:type="dxa"/>
            <w:bottom w:w="0" w:type="dxa"/>
            <w:right w:w="108" w:type="dxa"/>
          </w:tblCellMar>
        </w:tblPrEx>
        <w:trPr>
          <w:trHeight w:val="567"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建设成果的价值</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建设成果水平较高，具有推广和应用价值。</w:t>
            </w:r>
          </w:p>
        </w:tc>
      </w:tr>
    </w:tbl>
    <w:p>
      <w:pPr>
        <w:rPr>
          <w:rFonts w:ascii="仿宋_GB2312" w:eastAsia="仿宋_GB2312"/>
          <w:sz w:val="24"/>
          <w:szCs w:val="24"/>
        </w:rPr>
      </w:pPr>
      <w:r>
        <w:rPr>
          <w:rFonts w:hint="eastAsia" w:ascii="仿宋_GB2312" w:eastAsia="仿宋_GB2312"/>
          <w:sz w:val="24"/>
          <w:szCs w:val="24"/>
        </w:rPr>
        <w:fldChar w:fldCharType="end"/>
      </w: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pStyle w:val="2"/>
        <w:bidi w:val="0"/>
      </w:pPr>
      <w:bookmarkStart w:id="2" w:name="_Toc3378"/>
      <w:r>
        <w:rPr>
          <w:rFonts w:hint="eastAsia"/>
        </w:rPr>
        <w:t>广东省本科高校人才培养模式创新实验区验收指标（试行）</w:t>
      </w:r>
      <w:bookmarkEnd w:id="2"/>
    </w:p>
    <w:tbl>
      <w:tblPr>
        <w:tblStyle w:val="9"/>
        <w:tblW w:w="0" w:type="auto"/>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autofit"/>
        <w:tblCellMar>
          <w:top w:w="90" w:type="dxa"/>
          <w:left w:w="90" w:type="dxa"/>
          <w:bottom w:w="90" w:type="dxa"/>
          <w:right w:w="90" w:type="dxa"/>
        </w:tblCellMar>
      </w:tblPr>
      <w:tblGrid>
        <w:gridCol w:w="1385"/>
        <w:gridCol w:w="2328"/>
        <w:gridCol w:w="1141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49" w:hRule="atLeast"/>
          <w:tblCellSpacing w:w="7" w:type="dxa"/>
          <w:jc w:val="center"/>
        </w:trPr>
        <w:tc>
          <w:tcPr>
            <w:tcW w:w="1354" w:type="dxa"/>
            <w:shd w:val="clear" w:color="auto" w:fill="FFFFFF"/>
            <w:noWrap/>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304" w:type="dxa"/>
            <w:shd w:val="clear" w:color="auto" w:fill="FFFFFF"/>
            <w:noWrap/>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1414"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249" w:hRule="atLeast"/>
          <w:tblCellSpacing w:w="7" w:type="dxa"/>
          <w:jc w:val="center"/>
        </w:trPr>
        <w:tc>
          <w:tcPr>
            <w:tcW w:w="1354" w:type="dxa"/>
            <w:vMerge w:val="restart"/>
            <w:shd w:val="clear" w:color="auto" w:fill="FFFFFF"/>
            <w:noWrap/>
            <w:vAlign w:val="center"/>
          </w:tcPr>
          <w:p>
            <w:pPr>
              <w:jc w:val="center"/>
              <w:rPr>
                <w:rFonts w:ascii="仿宋_GB2312" w:eastAsia="仿宋_GB2312"/>
                <w:sz w:val="24"/>
                <w:szCs w:val="24"/>
              </w:rPr>
            </w:pPr>
            <w:r>
              <w:rPr>
                <w:rFonts w:hint="eastAsia" w:ascii="仿宋_GB2312" w:eastAsia="仿宋_GB2312"/>
                <w:sz w:val="24"/>
                <w:szCs w:val="24"/>
              </w:rPr>
              <w:t>基本情况</w:t>
            </w:r>
          </w:p>
          <w:p>
            <w:pPr>
              <w:jc w:val="center"/>
              <w:rPr>
                <w:rFonts w:ascii="仿宋_GB2312" w:eastAsia="仿宋_GB2312"/>
                <w:sz w:val="24"/>
                <w:szCs w:val="24"/>
              </w:rPr>
            </w:pPr>
            <w:r>
              <w:rPr>
                <w:rFonts w:hint="eastAsia" w:ascii="仿宋_GB2312" w:eastAsia="仿宋_GB2312"/>
                <w:sz w:val="24"/>
                <w:szCs w:val="24"/>
              </w:rPr>
              <w:t>（10分）</w:t>
            </w:r>
          </w:p>
        </w:tc>
        <w:tc>
          <w:tcPr>
            <w:tcW w:w="2304" w:type="dxa"/>
            <w:shd w:val="clear" w:color="auto" w:fill="FFFFFF"/>
            <w:noWrap/>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11414"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基本完成了申报时预设的各项建设目标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249" w:hRule="atLeast"/>
          <w:tblCellSpacing w:w="7" w:type="dxa"/>
          <w:jc w:val="center"/>
        </w:trPr>
        <w:tc>
          <w:tcPr>
            <w:tcW w:w="1354" w:type="dxa"/>
            <w:vMerge w:val="continue"/>
            <w:shd w:val="clear" w:color="auto" w:fill="FFFFFF"/>
            <w:noWrap/>
            <w:vAlign w:val="center"/>
          </w:tcPr>
          <w:p>
            <w:pPr>
              <w:jc w:val="center"/>
              <w:rPr>
                <w:rFonts w:ascii="仿宋_GB2312" w:eastAsia="仿宋_GB2312"/>
                <w:sz w:val="24"/>
                <w:szCs w:val="24"/>
              </w:rPr>
            </w:pPr>
          </w:p>
        </w:tc>
        <w:tc>
          <w:tcPr>
            <w:tcW w:w="2304" w:type="dxa"/>
            <w:shd w:val="clear" w:color="auto" w:fill="FFFFFF"/>
            <w:noWrap/>
            <w:vAlign w:val="center"/>
          </w:tcPr>
          <w:p>
            <w:pPr>
              <w:jc w:val="center"/>
              <w:rPr>
                <w:rFonts w:ascii="仿宋_GB2312" w:eastAsia="仿宋_GB2312"/>
                <w:sz w:val="24"/>
                <w:szCs w:val="24"/>
              </w:rPr>
            </w:pPr>
            <w:r>
              <w:rPr>
                <w:rFonts w:hint="eastAsia" w:ascii="仿宋_GB2312" w:eastAsia="仿宋_GB2312"/>
                <w:sz w:val="24"/>
                <w:szCs w:val="24"/>
              </w:rPr>
              <w:t>建设思路</w:t>
            </w:r>
          </w:p>
        </w:tc>
        <w:tc>
          <w:tcPr>
            <w:tcW w:w="11414"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建设思路清晰，优势和特色显著。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223" w:hRule="atLeast"/>
          <w:tblCellSpacing w:w="7" w:type="dxa"/>
          <w:jc w:val="center"/>
        </w:trPr>
        <w:tc>
          <w:tcPr>
            <w:tcW w:w="1354" w:type="dxa"/>
            <w:vMerge w:val="restart"/>
            <w:shd w:val="clear" w:color="auto" w:fill="FFFFFF"/>
            <w:vAlign w:val="center"/>
          </w:tcPr>
          <w:p>
            <w:pPr>
              <w:rPr>
                <w:rFonts w:ascii="仿宋_GB2312" w:eastAsia="仿宋_GB2312"/>
                <w:sz w:val="24"/>
                <w:szCs w:val="24"/>
              </w:rPr>
            </w:pPr>
            <w:r>
              <w:rPr>
                <w:rFonts w:hint="eastAsia" w:ascii="仿宋_GB2312" w:eastAsia="仿宋_GB2312"/>
                <w:sz w:val="24"/>
                <w:szCs w:val="24"/>
              </w:rPr>
              <w:t>指导思想</w:t>
            </w:r>
          </w:p>
          <w:p>
            <w:pPr>
              <w:rPr>
                <w:rFonts w:ascii="仿宋_GB2312" w:eastAsia="仿宋_GB2312"/>
                <w:sz w:val="24"/>
                <w:szCs w:val="24"/>
              </w:rPr>
            </w:pPr>
            <w:r>
              <w:rPr>
                <w:rFonts w:hint="eastAsia" w:ascii="仿宋_GB2312" w:eastAsia="仿宋_GB2312"/>
                <w:sz w:val="24"/>
                <w:szCs w:val="24"/>
              </w:rPr>
              <w:t>（10分）</w:t>
            </w:r>
          </w:p>
        </w:tc>
        <w:tc>
          <w:tcPr>
            <w:tcW w:w="230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教育理念</w:t>
            </w:r>
          </w:p>
        </w:tc>
        <w:tc>
          <w:tcPr>
            <w:tcW w:w="11414"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对人才培养模式进行综合性配套改革，突破旧有模式，教育教学理念具有较强的创新性。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359" w:hRule="atLeast"/>
          <w:tblCellSpacing w:w="7" w:type="dxa"/>
          <w:jc w:val="center"/>
        </w:trPr>
        <w:tc>
          <w:tcPr>
            <w:tcW w:w="1354" w:type="dxa"/>
            <w:vMerge w:val="continue"/>
            <w:shd w:val="clear" w:color="auto" w:fill="CCCCCC"/>
            <w:vAlign w:val="center"/>
          </w:tcPr>
          <w:p>
            <w:pPr>
              <w:rPr>
                <w:rFonts w:ascii="仿宋_GB2312" w:eastAsia="仿宋_GB2312"/>
                <w:sz w:val="24"/>
                <w:szCs w:val="24"/>
              </w:rPr>
            </w:pPr>
          </w:p>
        </w:tc>
        <w:tc>
          <w:tcPr>
            <w:tcW w:w="230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理论研究</w:t>
            </w:r>
          </w:p>
        </w:tc>
        <w:tc>
          <w:tcPr>
            <w:tcW w:w="11414" w:type="dxa"/>
            <w:shd w:val="clear" w:color="auto" w:fill="FFFFFF"/>
            <w:vAlign w:val="center"/>
          </w:tcPr>
          <w:p>
            <w:pPr>
              <w:rPr>
                <w:rFonts w:ascii="仿宋_GB2312" w:eastAsia="仿宋_GB2312"/>
                <w:sz w:val="24"/>
                <w:szCs w:val="24"/>
              </w:rPr>
            </w:pPr>
            <w:r>
              <w:rPr>
                <w:rFonts w:hint="eastAsia" w:ascii="仿宋_GB2312" w:eastAsia="仿宋_GB2312"/>
                <w:sz w:val="24"/>
                <w:szCs w:val="24"/>
              </w:rPr>
              <w:t>加强人才培养模式改革进行了较深入的理论研究和社会调研，形成了有特色的人才培养研究成果。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353" w:hRule="atLeast"/>
          <w:tblCellSpacing w:w="7" w:type="dxa"/>
          <w:jc w:val="center"/>
        </w:trPr>
        <w:tc>
          <w:tcPr>
            <w:tcW w:w="1354" w:type="dxa"/>
            <w:vMerge w:val="restart"/>
            <w:shd w:val="clear" w:color="auto" w:fill="FFFFFF"/>
            <w:vAlign w:val="center"/>
          </w:tcPr>
          <w:p>
            <w:pPr>
              <w:rPr>
                <w:rFonts w:ascii="仿宋_GB2312" w:eastAsia="仿宋_GB2312"/>
                <w:sz w:val="24"/>
                <w:szCs w:val="24"/>
              </w:rPr>
            </w:pPr>
            <w:r>
              <w:rPr>
                <w:rFonts w:hint="eastAsia" w:ascii="仿宋_GB2312" w:eastAsia="仿宋_GB2312"/>
                <w:sz w:val="24"/>
                <w:szCs w:val="24"/>
              </w:rPr>
              <w:t>培养方案</w:t>
            </w:r>
          </w:p>
          <w:p>
            <w:pPr>
              <w:rPr>
                <w:rFonts w:ascii="仿宋_GB2312" w:eastAsia="仿宋_GB2312"/>
                <w:sz w:val="24"/>
                <w:szCs w:val="24"/>
              </w:rPr>
            </w:pPr>
            <w:r>
              <w:rPr>
                <w:rFonts w:hint="eastAsia" w:ascii="仿宋_GB2312" w:eastAsia="仿宋_GB2312"/>
                <w:sz w:val="24"/>
                <w:szCs w:val="24"/>
              </w:rPr>
              <w:t>（15分）</w:t>
            </w:r>
          </w:p>
        </w:tc>
        <w:tc>
          <w:tcPr>
            <w:tcW w:w="230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培养目标</w:t>
            </w:r>
          </w:p>
        </w:tc>
        <w:tc>
          <w:tcPr>
            <w:tcW w:w="11414" w:type="dxa"/>
            <w:shd w:val="clear" w:color="auto" w:fill="FFFFFF"/>
            <w:vAlign w:val="center"/>
          </w:tcPr>
          <w:p>
            <w:pPr>
              <w:rPr>
                <w:rFonts w:ascii="仿宋_GB2312" w:eastAsia="仿宋_GB2312"/>
                <w:sz w:val="24"/>
                <w:szCs w:val="24"/>
              </w:rPr>
            </w:pPr>
            <w:r>
              <w:rPr>
                <w:rFonts w:hint="eastAsia" w:ascii="仿宋_GB2312" w:eastAsia="仿宋_GB2312"/>
                <w:sz w:val="24"/>
                <w:szCs w:val="24"/>
              </w:rPr>
              <w:t xml:space="preserve">根据经济社会发展需要，结合学校的办学定位、办学特色，明确培养目标，定位科学合理.培养目标明确。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517" w:hRule="atLeast"/>
          <w:tblCellSpacing w:w="7" w:type="dxa"/>
          <w:jc w:val="center"/>
        </w:trPr>
        <w:tc>
          <w:tcPr>
            <w:tcW w:w="1354" w:type="dxa"/>
            <w:vMerge w:val="continue"/>
            <w:shd w:val="clear" w:color="auto" w:fill="CCCCCC"/>
            <w:vAlign w:val="center"/>
          </w:tcPr>
          <w:p>
            <w:pPr>
              <w:rPr>
                <w:rFonts w:ascii="仿宋_GB2312" w:eastAsia="仿宋_GB2312"/>
                <w:sz w:val="24"/>
                <w:szCs w:val="24"/>
              </w:rPr>
            </w:pPr>
          </w:p>
        </w:tc>
        <w:tc>
          <w:tcPr>
            <w:tcW w:w="230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方案设计</w:t>
            </w:r>
          </w:p>
        </w:tc>
        <w:tc>
          <w:tcPr>
            <w:tcW w:w="11414" w:type="dxa"/>
            <w:shd w:val="clear" w:color="auto" w:fill="FFFFFF"/>
            <w:vAlign w:val="center"/>
          </w:tcPr>
          <w:p>
            <w:pPr>
              <w:rPr>
                <w:rFonts w:ascii="仿宋_GB2312" w:eastAsia="仿宋_GB2312"/>
                <w:sz w:val="24"/>
                <w:szCs w:val="24"/>
              </w:rPr>
            </w:pPr>
            <w:r>
              <w:rPr>
                <w:rFonts w:hint="eastAsia" w:ascii="仿宋_GB2312" w:eastAsia="仿宋_GB2312"/>
                <w:sz w:val="24"/>
                <w:szCs w:val="24"/>
              </w:rPr>
              <w:t>具备较为完整和科学的人才培养方案，创新点突出，特色鲜明，对本领域复合型拔尖创新人才或应用型人才培养具有较为深刻的认识和理解，人才培养定位准确，有明确的工作思路和解决问题的方法。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104" w:hRule="atLeast"/>
          <w:tblCellSpacing w:w="7" w:type="dxa"/>
          <w:jc w:val="center"/>
        </w:trPr>
        <w:tc>
          <w:tcPr>
            <w:tcW w:w="1354" w:type="dxa"/>
            <w:vMerge w:val="continue"/>
            <w:shd w:val="clear" w:color="auto" w:fill="CCCCCC"/>
            <w:vAlign w:val="center"/>
          </w:tcPr>
          <w:p>
            <w:pPr>
              <w:rPr>
                <w:rFonts w:ascii="仿宋_GB2312" w:eastAsia="仿宋_GB2312"/>
                <w:sz w:val="24"/>
                <w:szCs w:val="24"/>
              </w:rPr>
            </w:pPr>
          </w:p>
        </w:tc>
        <w:tc>
          <w:tcPr>
            <w:tcW w:w="230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可行性</w:t>
            </w:r>
          </w:p>
        </w:tc>
        <w:tc>
          <w:tcPr>
            <w:tcW w:w="11414" w:type="dxa"/>
            <w:shd w:val="clear" w:color="auto" w:fill="FFFFFF"/>
            <w:vAlign w:val="center"/>
          </w:tcPr>
          <w:p>
            <w:pPr>
              <w:rPr>
                <w:rFonts w:ascii="仿宋_GB2312" w:eastAsia="仿宋_GB2312"/>
                <w:sz w:val="24"/>
                <w:szCs w:val="24"/>
              </w:rPr>
            </w:pPr>
            <w:r>
              <w:rPr>
                <w:rFonts w:hint="eastAsia" w:ascii="仿宋_GB2312" w:eastAsia="仿宋_GB2312"/>
                <w:sz w:val="24"/>
                <w:szCs w:val="24"/>
              </w:rPr>
              <w:t>措施具体，可操作性强，并按培养创新创业人才要求对人才培养方案进行了修订。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579" w:hRule="atLeast"/>
          <w:tblCellSpacing w:w="7" w:type="dxa"/>
          <w:jc w:val="center"/>
        </w:trPr>
        <w:tc>
          <w:tcPr>
            <w:tcW w:w="1354" w:type="dxa"/>
            <w:vMerge w:val="restart"/>
            <w:shd w:val="clear" w:color="auto" w:fill="auto"/>
            <w:vAlign w:val="center"/>
          </w:tcPr>
          <w:p>
            <w:pPr>
              <w:rPr>
                <w:rFonts w:ascii="仿宋_GB2312" w:eastAsia="仿宋_GB2312"/>
                <w:sz w:val="24"/>
                <w:szCs w:val="24"/>
              </w:rPr>
            </w:pPr>
            <w:r>
              <w:rPr>
                <w:rFonts w:hint="eastAsia" w:ascii="仿宋_GB2312" w:eastAsia="仿宋_GB2312"/>
                <w:sz w:val="24"/>
                <w:szCs w:val="24"/>
              </w:rPr>
              <w:t>教学改革</w:t>
            </w:r>
          </w:p>
          <w:p>
            <w:pPr>
              <w:rPr>
                <w:rFonts w:ascii="仿宋_GB2312" w:eastAsia="仿宋_GB2312"/>
                <w:sz w:val="24"/>
                <w:szCs w:val="24"/>
              </w:rPr>
            </w:pPr>
            <w:r>
              <w:rPr>
                <w:rFonts w:hint="eastAsia" w:ascii="仿宋_GB2312" w:eastAsia="仿宋_GB2312"/>
                <w:sz w:val="24"/>
                <w:szCs w:val="24"/>
              </w:rPr>
              <w:t>（20分）</w:t>
            </w:r>
          </w:p>
          <w:p>
            <w:pPr>
              <w:rPr>
                <w:rFonts w:ascii="仿宋_GB2312" w:eastAsia="仿宋_GB2312"/>
                <w:sz w:val="24"/>
                <w:szCs w:val="24"/>
              </w:rPr>
            </w:pPr>
          </w:p>
        </w:tc>
        <w:tc>
          <w:tcPr>
            <w:tcW w:w="2304"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教学内容和方式改革</w:t>
            </w:r>
          </w:p>
        </w:tc>
        <w:tc>
          <w:tcPr>
            <w:tcW w:w="11414" w:type="dxa"/>
            <w:shd w:val="clear" w:color="auto" w:fill="auto"/>
            <w:vAlign w:val="center"/>
          </w:tcPr>
          <w:p>
            <w:pPr>
              <w:rPr>
                <w:rFonts w:ascii="仿宋_GB2312" w:eastAsia="仿宋_GB2312"/>
                <w:sz w:val="24"/>
                <w:szCs w:val="24"/>
              </w:rPr>
            </w:pPr>
            <w:r>
              <w:rPr>
                <w:rFonts w:hint="eastAsia" w:ascii="仿宋_GB2312" w:eastAsia="仿宋_GB2312"/>
                <w:sz w:val="24"/>
                <w:szCs w:val="24"/>
              </w:rPr>
              <w:t>教学内容能够贴近社会实际，教学资源丰富，形式多样，即时动态更新，有新编教材；在实验区内推广了小班教学或互动式、研究型教学，主动将科研成果带入课堂。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371" w:hRule="atLeast"/>
          <w:tblCellSpacing w:w="7" w:type="dxa"/>
          <w:jc w:val="center"/>
        </w:trPr>
        <w:tc>
          <w:tcPr>
            <w:tcW w:w="1354" w:type="dxa"/>
            <w:vMerge w:val="continue"/>
            <w:shd w:val="clear" w:color="auto" w:fill="auto"/>
            <w:vAlign w:val="center"/>
          </w:tcPr>
          <w:p>
            <w:pPr>
              <w:rPr>
                <w:rFonts w:ascii="仿宋_GB2312" w:eastAsia="仿宋_GB2312"/>
                <w:sz w:val="24"/>
                <w:szCs w:val="24"/>
              </w:rPr>
            </w:pPr>
          </w:p>
        </w:tc>
        <w:tc>
          <w:tcPr>
            <w:tcW w:w="2304"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考核方式改革</w:t>
            </w:r>
          </w:p>
        </w:tc>
        <w:tc>
          <w:tcPr>
            <w:tcW w:w="11414" w:type="dxa"/>
            <w:shd w:val="clear" w:color="auto" w:fill="auto"/>
            <w:vAlign w:val="center"/>
          </w:tcPr>
          <w:p>
            <w:pPr>
              <w:rPr>
                <w:rFonts w:ascii="仿宋_GB2312" w:eastAsia="仿宋_GB2312"/>
                <w:sz w:val="24"/>
                <w:szCs w:val="24"/>
              </w:rPr>
            </w:pPr>
            <w:r>
              <w:rPr>
                <w:rFonts w:hint="eastAsia" w:ascii="仿宋_GB2312" w:eastAsia="仿宋_GB2312"/>
                <w:sz w:val="24"/>
                <w:szCs w:val="24"/>
              </w:rPr>
              <w:t>实行多元考核方式，注重学生知识应用和自主学习能力考察，建立了行之有效的学分积累和转换制度，配套一系列灵活的过程考核制度。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411" w:hRule="atLeast"/>
          <w:tblCellSpacing w:w="7" w:type="dxa"/>
          <w:jc w:val="center"/>
        </w:trPr>
        <w:tc>
          <w:tcPr>
            <w:tcW w:w="1354" w:type="dxa"/>
            <w:vMerge w:val="restart"/>
            <w:shd w:val="clear" w:color="auto" w:fill="FFFFFF"/>
            <w:vAlign w:val="center"/>
          </w:tcPr>
          <w:p>
            <w:pPr>
              <w:rPr>
                <w:rFonts w:ascii="仿宋_GB2312" w:eastAsia="仿宋_GB2312"/>
                <w:sz w:val="24"/>
                <w:szCs w:val="24"/>
              </w:rPr>
            </w:pPr>
            <w:r>
              <w:rPr>
                <w:rFonts w:hint="eastAsia" w:ascii="仿宋_GB2312" w:eastAsia="仿宋_GB2312"/>
                <w:sz w:val="24"/>
                <w:szCs w:val="24"/>
              </w:rPr>
              <w:t>保障体系</w:t>
            </w:r>
          </w:p>
          <w:p>
            <w:pPr>
              <w:rPr>
                <w:rFonts w:ascii="仿宋_GB2312" w:eastAsia="仿宋_GB2312"/>
                <w:sz w:val="24"/>
                <w:szCs w:val="24"/>
              </w:rPr>
            </w:pPr>
            <w:r>
              <w:rPr>
                <w:rFonts w:hint="eastAsia" w:ascii="仿宋_GB2312" w:eastAsia="仿宋_GB2312"/>
                <w:sz w:val="24"/>
                <w:szCs w:val="24"/>
              </w:rPr>
              <w:t>（20分）</w:t>
            </w:r>
          </w:p>
        </w:tc>
        <w:tc>
          <w:tcPr>
            <w:tcW w:w="230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师资队伍</w:t>
            </w:r>
          </w:p>
        </w:tc>
        <w:tc>
          <w:tcPr>
            <w:tcW w:w="11414" w:type="dxa"/>
            <w:shd w:val="clear" w:color="auto" w:fill="FFFFFF"/>
            <w:vAlign w:val="center"/>
          </w:tcPr>
          <w:p>
            <w:pPr>
              <w:rPr>
                <w:rFonts w:ascii="仿宋_GB2312" w:eastAsia="仿宋_GB2312"/>
                <w:sz w:val="24"/>
                <w:szCs w:val="24"/>
              </w:rPr>
            </w:pPr>
            <w:r>
              <w:rPr>
                <w:rFonts w:hint="eastAsia" w:ascii="仿宋_GB2312" w:eastAsia="仿宋_GB2312"/>
                <w:sz w:val="24"/>
                <w:szCs w:val="24"/>
              </w:rPr>
              <w:t>师资队伍结构合理，师德高尚，业务素质精良，专职教师的主要精力投入教学工作，兼职教师队伍积极参与教学，水平较高，数量充足。项目负责人（专业带头人）具有高级专业技术职务。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466" w:hRule="atLeast"/>
          <w:tblCellSpacing w:w="7" w:type="dxa"/>
          <w:jc w:val="center"/>
        </w:trPr>
        <w:tc>
          <w:tcPr>
            <w:tcW w:w="1354" w:type="dxa"/>
            <w:vMerge w:val="continue"/>
            <w:shd w:val="clear" w:color="auto" w:fill="CCCCCC"/>
            <w:vAlign w:val="center"/>
          </w:tcPr>
          <w:p>
            <w:pPr>
              <w:rPr>
                <w:rFonts w:ascii="仿宋_GB2312" w:eastAsia="仿宋_GB2312"/>
                <w:sz w:val="24"/>
                <w:szCs w:val="24"/>
              </w:rPr>
            </w:pPr>
          </w:p>
        </w:tc>
        <w:tc>
          <w:tcPr>
            <w:tcW w:w="230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教学条件</w:t>
            </w:r>
          </w:p>
        </w:tc>
        <w:tc>
          <w:tcPr>
            <w:tcW w:w="11414" w:type="dxa"/>
            <w:shd w:val="clear" w:color="auto" w:fill="FFFFFF"/>
            <w:vAlign w:val="center"/>
          </w:tcPr>
          <w:p>
            <w:pPr>
              <w:rPr>
                <w:rFonts w:ascii="仿宋_GB2312" w:eastAsia="仿宋_GB2312"/>
                <w:sz w:val="24"/>
                <w:szCs w:val="24"/>
              </w:rPr>
            </w:pPr>
            <w:r>
              <w:rPr>
                <w:rFonts w:hint="eastAsia" w:ascii="仿宋_GB2312" w:eastAsia="仿宋_GB2312"/>
                <w:sz w:val="24"/>
                <w:szCs w:val="24"/>
              </w:rPr>
              <w:t>实践实验条件优良，教室、实验室教学设备齐全、先进，基本教学资料齐备，教材选用严格，图书资料（含网络数据库和数字化图书）丰富，使用方便。</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453" w:hRule="atLeast"/>
          <w:tblCellSpacing w:w="7" w:type="dxa"/>
          <w:jc w:val="center"/>
        </w:trPr>
        <w:tc>
          <w:tcPr>
            <w:tcW w:w="1354" w:type="dxa"/>
            <w:vMerge w:val="continue"/>
            <w:shd w:val="clear" w:color="auto" w:fill="CCCCCC"/>
            <w:vAlign w:val="center"/>
          </w:tcPr>
          <w:p>
            <w:pPr>
              <w:rPr>
                <w:rFonts w:ascii="仿宋_GB2312" w:eastAsia="仿宋_GB2312"/>
                <w:sz w:val="24"/>
                <w:szCs w:val="24"/>
              </w:rPr>
            </w:pPr>
          </w:p>
        </w:tc>
        <w:tc>
          <w:tcPr>
            <w:tcW w:w="230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管理与运行</w:t>
            </w:r>
          </w:p>
        </w:tc>
        <w:tc>
          <w:tcPr>
            <w:tcW w:w="11414" w:type="dxa"/>
            <w:shd w:val="clear" w:color="auto" w:fill="FFFFFF"/>
            <w:vAlign w:val="center"/>
          </w:tcPr>
          <w:p>
            <w:pPr>
              <w:rPr>
                <w:rFonts w:ascii="仿宋_GB2312" w:eastAsia="仿宋_GB2312"/>
                <w:sz w:val="24"/>
                <w:szCs w:val="24"/>
              </w:rPr>
            </w:pPr>
            <w:r>
              <w:rPr>
                <w:rFonts w:hint="eastAsia" w:ascii="仿宋_GB2312" w:eastAsia="仿宋_GB2312"/>
                <w:sz w:val="24"/>
                <w:szCs w:val="24"/>
              </w:rPr>
              <w:t>建立了长效的协同育人机制，有完备的运行管理制度并得到校内有关部门的紧密配合，重视过程管理，有稳定的经费投入和运行机制。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324" w:hRule="atLeast"/>
          <w:tblCellSpacing w:w="7" w:type="dxa"/>
          <w:jc w:val="center"/>
        </w:trPr>
        <w:tc>
          <w:tcPr>
            <w:tcW w:w="1354" w:type="dxa"/>
            <w:vMerge w:val="continue"/>
            <w:shd w:val="clear" w:color="auto" w:fill="CCCCCC"/>
            <w:vAlign w:val="center"/>
          </w:tcPr>
          <w:p>
            <w:pPr>
              <w:rPr>
                <w:rFonts w:ascii="仿宋_GB2312" w:eastAsia="仿宋_GB2312"/>
                <w:sz w:val="24"/>
                <w:szCs w:val="24"/>
              </w:rPr>
            </w:pPr>
          </w:p>
        </w:tc>
        <w:tc>
          <w:tcPr>
            <w:tcW w:w="230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经费政策保障</w:t>
            </w:r>
          </w:p>
        </w:tc>
        <w:tc>
          <w:tcPr>
            <w:tcW w:w="11414" w:type="dxa"/>
            <w:shd w:val="clear" w:color="auto" w:fill="FFFFFF"/>
            <w:vAlign w:val="center"/>
          </w:tcPr>
          <w:p>
            <w:pPr>
              <w:rPr>
                <w:rFonts w:ascii="仿宋_GB2312" w:eastAsia="仿宋_GB2312"/>
                <w:sz w:val="24"/>
                <w:szCs w:val="24"/>
              </w:rPr>
            </w:pPr>
            <w:r>
              <w:rPr>
                <w:rFonts w:hint="eastAsia" w:ascii="仿宋_GB2312" w:eastAsia="仿宋_GB2312"/>
                <w:sz w:val="24"/>
                <w:szCs w:val="24"/>
              </w:rPr>
              <w:t xml:space="preserve">学校重视，在教育教学改革、师资配备、经费保障等方面有明确的鼓励和支持政策。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372" w:hRule="atLeast"/>
          <w:tblCellSpacing w:w="7" w:type="dxa"/>
          <w:jc w:val="center"/>
        </w:trPr>
        <w:tc>
          <w:tcPr>
            <w:tcW w:w="1354" w:type="dxa"/>
            <w:shd w:val="clear" w:color="auto" w:fill="auto"/>
            <w:vAlign w:val="center"/>
          </w:tcPr>
          <w:p>
            <w:pPr>
              <w:rPr>
                <w:rFonts w:ascii="仿宋_GB2312" w:eastAsia="仿宋_GB2312"/>
                <w:sz w:val="24"/>
                <w:szCs w:val="24"/>
              </w:rPr>
            </w:pPr>
            <w:r>
              <w:rPr>
                <w:rFonts w:hint="eastAsia" w:ascii="仿宋_GB2312" w:eastAsia="仿宋_GB2312"/>
                <w:sz w:val="24"/>
                <w:szCs w:val="24"/>
              </w:rPr>
              <w:t>培养效果</w:t>
            </w:r>
          </w:p>
          <w:p>
            <w:pPr>
              <w:rPr>
                <w:rFonts w:ascii="仿宋_GB2312" w:eastAsia="仿宋_GB2312"/>
                <w:sz w:val="24"/>
                <w:szCs w:val="24"/>
              </w:rPr>
            </w:pPr>
            <w:r>
              <w:rPr>
                <w:rFonts w:hint="eastAsia" w:ascii="仿宋_GB2312" w:eastAsia="仿宋_GB2312"/>
                <w:sz w:val="24"/>
                <w:szCs w:val="24"/>
              </w:rPr>
              <w:t>（15分）</w:t>
            </w:r>
          </w:p>
        </w:tc>
        <w:tc>
          <w:tcPr>
            <w:tcW w:w="2304"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人才综合素质</w:t>
            </w:r>
          </w:p>
        </w:tc>
        <w:tc>
          <w:tcPr>
            <w:tcW w:w="11414" w:type="dxa"/>
            <w:shd w:val="clear" w:color="auto" w:fill="auto"/>
            <w:vAlign w:val="center"/>
          </w:tcPr>
          <w:p>
            <w:pPr>
              <w:rPr>
                <w:rFonts w:ascii="仿宋_GB2312" w:eastAsia="仿宋_GB2312"/>
                <w:sz w:val="24"/>
                <w:szCs w:val="24"/>
              </w:rPr>
            </w:pPr>
            <w:r>
              <w:rPr>
                <w:rFonts w:hint="eastAsia" w:ascii="仿宋_GB2312" w:eastAsia="仿宋_GB2312"/>
                <w:sz w:val="24"/>
                <w:szCs w:val="24"/>
              </w:rPr>
              <w:t>自实验区成立以来，学生发明专利和发表高水平论文或其他创新成果较多，人才培养综合素质好，学生发现、分析和解决问题能力突出，创新创业能力较强，学生在校期间参加省级及以上各类竞赛获奖较多，毕业生就业质量高，广泛受到用人单位好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595" w:hRule="atLeast"/>
          <w:tblCellSpacing w:w="7" w:type="dxa"/>
          <w:jc w:val="center"/>
        </w:trPr>
        <w:tc>
          <w:tcPr>
            <w:tcW w:w="1354" w:type="dxa"/>
            <w:shd w:val="clear" w:color="auto" w:fill="auto"/>
            <w:vAlign w:val="center"/>
          </w:tcPr>
          <w:p>
            <w:pPr>
              <w:rPr>
                <w:rFonts w:ascii="仿宋_GB2312" w:eastAsia="仿宋_GB2312"/>
                <w:sz w:val="24"/>
                <w:szCs w:val="24"/>
              </w:rPr>
            </w:pPr>
            <w:r>
              <w:rPr>
                <w:rFonts w:hint="eastAsia" w:ascii="仿宋_GB2312" w:eastAsia="仿宋_GB2312"/>
                <w:sz w:val="24"/>
                <w:szCs w:val="24"/>
              </w:rPr>
              <w:t>建设成果</w:t>
            </w:r>
          </w:p>
          <w:p>
            <w:pPr>
              <w:rPr>
                <w:rFonts w:ascii="仿宋_GB2312" w:eastAsia="仿宋_GB2312"/>
                <w:sz w:val="24"/>
                <w:szCs w:val="24"/>
              </w:rPr>
            </w:pPr>
            <w:r>
              <w:rPr>
                <w:rFonts w:hint="eastAsia" w:ascii="仿宋_GB2312" w:eastAsia="仿宋_GB2312"/>
                <w:sz w:val="24"/>
                <w:szCs w:val="24"/>
              </w:rPr>
              <w:t>（10分）</w:t>
            </w:r>
          </w:p>
        </w:tc>
        <w:tc>
          <w:tcPr>
            <w:tcW w:w="2304"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成果的创新和示范</w:t>
            </w:r>
          </w:p>
        </w:tc>
        <w:tc>
          <w:tcPr>
            <w:tcW w:w="11414" w:type="dxa"/>
            <w:shd w:val="clear" w:color="auto" w:fill="auto"/>
            <w:vAlign w:val="center"/>
          </w:tcPr>
          <w:p>
            <w:pPr>
              <w:rPr>
                <w:rFonts w:ascii="仿宋_GB2312" w:eastAsia="仿宋_GB2312"/>
                <w:sz w:val="24"/>
                <w:szCs w:val="24"/>
              </w:rPr>
            </w:pPr>
            <w:r>
              <w:rPr>
                <w:rFonts w:hint="eastAsia" w:ascii="仿宋_GB2312" w:eastAsia="仿宋_GB2312"/>
                <w:sz w:val="24"/>
                <w:szCs w:val="24"/>
              </w:rPr>
              <w:t>建设成果为原创，创新性强，水平较高，具有推广和应用价值，起到一定的示范作用和对教学改革起到促进作用。</w:t>
            </w:r>
          </w:p>
        </w:tc>
      </w:tr>
    </w:tbl>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pStyle w:val="2"/>
        <w:bidi w:val="0"/>
      </w:pPr>
      <w:bookmarkStart w:id="3" w:name="_Toc5553"/>
      <w:r>
        <w:rPr>
          <w:rFonts w:hint="eastAsia"/>
        </w:rPr>
        <w:t>广东省精品视频公开课验收指标（试行）</w:t>
      </w:r>
      <w:bookmarkEnd w:id="3"/>
    </w:p>
    <w:tbl>
      <w:tblPr>
        <w:tblStyle w:val="9"/>
        <w:tblW w:w="14880" w:type="dxa"/>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autofit"/>
        <w:tblCellMar>
          <w:top w:w="90" w:type="dxa"/>
          <w:left w:w="90" w:type="dxa"/>
          <w:bottom w:w="90" w:type="dxa"/>
          <w:right w:w="90" w:type="dxa"/>
        </w:tblCellMar>
      </w:tblPr>
      <w:tblGrid>
        <w:gridCol w:w="1518"/>
        <w:gridCol w:w="2635"/>
        <w:gridCol w:w="107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10" w:hRule="atLeast"/>
          <w:tblCellSpacing w:w="7" w:type="dxa"/>
          <w:jc w:val="center"/>
        </w:trPr>
        <w:tc>
          <w:tcPr>
            <w:tcW w:w="1487" w:type="dxa"/>
            <w:shd w:val="clear" w:color="auto" w:fill="FFFFFF"/>
            <w:noWrap/>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611" w:type="dxa"/>
            <w:shd w:val="clear" w:color="auto" w:fill="FFFFFF"/>
            <w:noWrap/>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0726"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10" w:hRule="atLeast"/>
          <w:tblCellSpacing w:w="7" w:type="dxa"/>
          <w:jc w:val="center"/>
        </w:trPr>
        <w:tc>
          <w:tcPr>
            <w:tcW w:w="1487" w:type="dxa"/>
            <w:vMerge w:val="restart"/>
            <w:shd w:val="clear" w:color="auto" w:fill="FFFFFF"/>
            <w:noWrap/>
            <w:vAlign w:val="center"/>
          </w:tcPr>
          <w:p>
            <w:pPr>
              <w:jc w:val="center"/>
              <w:rPr>
                <w:rFonts w:ascii="仿宋_GB2312" w:eastAsia="仿宋_GB2312"/>
                <w:sz w:val="24"/>
                <w:szCs w:val="24"/>
              </w:rPr>
            </w:pPr>
            <w:r>
              <w:rPr>
                <w:rFonts w:hint="eastAsia" w:ascii="仿宋_GB2312" w:eastAsia="仿宋_GB2312"/>
                <w:sz w:val="24"/>
                <w:szCs w:val="24"/>
              </w:rPr>
              <w:t>基本情况</w:t>
            </w:r>
          </w:p>
          <w:p>
            <w:pPr>
              <w:jc w:val="center"/>
              <w:rPr>
                <w:rFonts w:ascii="仿宋_GB2312" w:eastAsia="仿宋_GB2312"/>
                <w:sz w:val="24"/>
                <w:szCs w:val="24"/>
              </w:rPr>
            </w:pPr>
            <w:r>
              <w:rPr>
                <w:rFonts w:hint="eastAsia" w:ascii="仿宋_GB2312" w:eastAsia="仿宋_GB2312"/>
                <w:sz w:val="24"/>
                <w:szCs w:val="24"/>
              </w:rPr>
              <w:t>（10分）</w:t>
            </w:r>
          </w:p>
        </w:tc>
        <w:tc>
          <w:tcPr>
            <w:tcW w:w="2611" w:type="dxa"/>
            <w:shd w:val="clear" w:color="auto" w:fill="FFFFFF"/>
            <w:noWrap/>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10726"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基本完成了申报时预设的各项建设目标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10" w:hRule="atLeast"/>
          <w:tblCellSpacing w:w="7" w:type="dxa"/>
          <w:jc w:val="center"/>
        </w:trPr>
        <w:tc>
          <w:tcPr>
            <w:tcW w:w="1487" w:type="dxa"/>
            <w:vMerge w:val="continue"/>
            <w:shd w:val="clear" w:color="auto" w:fill="FFFFFF"/>
            <w:noWrap/>
            <w:vAlign w:val="center"/>
          </w:tcPr>
          <w:p>
            <w:pPr>
              <w:jc w:val="center"/>
              <w:rPr>
                <w:rFonts w:ascii="仿宋_GB2312" w:eastAsia="仿宋_GB2312"/>
                <w:sz w:val="24"/>
                <w:szCs w:val="24"/>
              </w:rPr>
            </w:pPr>
          </w:p>
        </w:tc>
        <w:tc>
          <w:tcPr>
            <w:tcW w:w="2611" w:type="dxa"/>
            <w:shd w:val="clear" w:color="auto" w:fill="FFFFFF"/>
            <w:noWrap/>
            <w:vAlign w:val="center"/>
          </w:tcPr>
          <w:p>
            <w:pPr>
              <w:jc w:val="center"/>
              <w:rPr>
                <w:rFonts w:ascii="仿宋_GB2312" w:eastAsia="仿宋_GB2312"/>
                <w:sz w:val="24"/>
                <w:szCs w:val="24"/>
              </w:rPr>
            </w:pPr>
            <w:r>
              <w:rPr>
                <w:rFonts w:hint="eastAsia" w:ascii="仿宋_GB2312" w:eastAsia="仿宋_GB2312"/>
                <w:sz w:val="24"/>
                <w:szCs w:val="24"/>
              </w:rPr>
              <w:t>建设思路</w:t>
            </w:r>
          </w:p>
        </w:tc>
        <w:tc>
          <w:tcPr>
            <w:tcW w:w="10726"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建设思路清晰，优势和特色显著。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7" w:hRule="atLeast"/>
          <w:tblCellSpacing w:w="7" w:type="dxa"/>
          <w:jc w:val="center"/>
        </w:trPr>
        <w:tc>
          <w:tcPr>
            <w:tcW w:w="1487" w:type="dxa"/>
            <w:vMerge w:val="restart"/>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教师风采</w:t>
            </w:r>
          </w:p>
          <w:p>
            <w:pPr>
              <w:jc w:val="center"/>
              <w:rPr>
                <w:rFonts w:ascii="仿宋_GB2312" w:eastAsia="仿宋_GB2312"/>
                <w:sz w:val="24"/>
                <w:szCs w:val="24"/>
              </w:rPr>
            </w:pPr>
            <w:r>
              <w:rPr>
                <w:rFonts w:hint="eastAsia" w:ascii="仿宋_GB2312" w:eastAsia="仿宋_GB2312"/>
                <w:sz w:val="24"/>
                <w:szCs w:val="24"/>
              </w:rPr>
              <w:t>（20分）</w:t>
            </w:r>
          </w:p>
        </w:tc>
        <w:tc>
          <w:tcPr>
            <w:tcW w:w="261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口才</w:t>
            </w:r>
          </w:p>
        </w:tc>
        <w:tc>
          <w:tcPr>
            <w:tcW w:w="10726" w:type="dxa"/>
            <w:shd w:val="clear" w:color="auto" w:fill="FFFFFF"/>
            <w:vAlign w:val="center"/>
          </w:tcPr>
          <w:p>
            <w:pPr>
              <w:rPr>
                <w:rFonts w:ascii="仿宋_GB2312" w:eastAsia="仿宋_GB2312"/>
                <w:sz w:val="24"/>
                <w:szCs w:val="24"/>
              </w:rPr>
            </w:pPr>
            <w:r>
              <w:rPr>
                <w:rFonts w:hint="eastAsia" w:ascii="仿宋_GB2312" w:eastAsia="仿宋_GB2312"/>
                <w:sz w:val="24"/>
                <w:szCs w:val="24"/>
              </w:rPr>
              <w:t>讲解深入浅出、清晰透彻，个性鲜明，易于理解。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7" w:hRule="atLeast"/>
          <w:tblCellSpacing w:w="7" w:type="dxa"/>
          <w:jc w:val="center"/>
        </w:trPr>
        <w:tc>
          <w:tcPr>
            <w:tcW w:w="1487" w:type="dxa"/>
            <w:vMerge w:val="continue"/>
            <w:shd w:val="clear" w:color="auto" w:fill="FFFFFF"/>
            <w:vAlign w:val="center"/>
          </w:tcPr>
          <w:p>
            <w:pPr>
              <w:jc w:val="center"/>
              <w:rPr>
                <w:rFonts w:ascii="仿宋_GB2312" w:eastAsia="仿宋_GB2312"/>
                <w:sz w:val="24"/>
                <w:szCs w:val="24"/>
              </w:rPr>
            </w:pPr>
          </w:p>
        </w:tc>
        <w:tc>
          <w:tcPr>
            <w:tcW w:w="261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知识</w:t>
            </w:r>
          </w:p>
        </w:tc>
        <w:tc>
          <w:tcPr>
            <w:tcW w:w="10726" w:type="dxa"/>
            <w:shd w:val="clear" w:color="auto" w:fill="FFFFFF"/>
            <w:vAlign w:val="center"/>
          </w:tcPr>
          <w:p>
            <w:pPr>
              <w:rPr>
                <w:rFonts w:ascii="仿宋_GB2312" w:eastAsia="仿宋_GB2312"/>
                <w:sz w:val="24"/>
                <w:szCs w:val="24"/>
              </w:rPr>
            </w:pPr>
            <w:r>
              <w:rPr>
                <w:rFonts w:hint="eastAsia" w:ascii="仿宋_GB2312" w:eastAsia="仿宋_GB2312"/>
                <w:sz w:val="24"/>
                <w:szCs w:val="24"/>
              </w:rPr>
              <w:t>对学科领域知识和相关学科知识都比较熟悉，学术造诣深厚。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1" w:hRule="atLeast"/>
          <w:tblCellSpacing w:w="7" w:type="dxa"/>
          <w:jc w:val="center"/>
        </w:trPr>
        <w:tc>
          <w:tcPr>
            <w:tcW w:w="1487" w:type="dxa"/>
            <w:vMerge w:val="continue"/>
            <w:shd w:val="clear" w:color="auto" w:fill="FFFFFF"/>
            <w:vAlign w:val="center"/>
          </w:tcPr>
          <w:p>
            <w:pPr>
              <w:jc w:val="center"/>
              <w:rPr>
                <w:rFonts w:ascii="仿宋_GB2312" w:eastAsia="仿宋_GB2312"/>
                <w:sz w:val="24"/>
                <w:szCs w:val="24"/>
              </w:rPr>
            </w:pPr>
          </w:p>
        </w:tc>
        <w:tc>
          <w:tcPr>
            <w:tcW w:w="261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能力</w:t>
            </w:r>
          </w:p>
        </w:tc>
        <w:tc>
          <w:tcPr>
            <w:tcW w:w="10726" w:type="dxa"/>
            <w:shd w:val="clear" w:color="auto" w:fill="FFFFFF"/>
            <w:vAlign w:val="center"/>
          </w:tcPr>
          <w:p>
            <w:pPr>
              <w:rPr>
                <w:rFonts w:ascii="仿宋_GB2312" w:eastAsia="仿宋_GB2312"/>
                <w:sz w:val="24"/>
                <w:szCs w:val="24"/>
              </w:rPr>
            </w:pPr>
            <w:r>
              <w:rPr>
                <w:rFonts w:hint="eastAsia" w:ascii="仿宋_GB2312" w:eastAsia="仿宋_GB2312"/>
                <w:sz w:val="24"/>
                <w:szCs w:val="24"/>
              </w:rPr>
              <w:t>教学能力强，教学经验丰富</w:t>
            </w:r>
            <w:r>
              <w:rPr>
                <w:rFonts w:hint="eastAsia" w:ascii="仿宋_GB2312" w:eastAsia="仿宋_GB2312" w:hAnsiTheme="minorEastAsia"/>
                <w:bCs/>
                <w:sz w:val="24"/>
                <w:szCs w:val="24"/>
              </w:rPr>
              <w:t>，具有高级专业技术职务；</w:t>
            </w:r>
            <w:r>
              <w:rPr>
                <w:rFonts w:hint="eastAsia" w:ascii="仿宋_GB2312" w:eastAsia="仿宋_GB2312"/>
                <w:sz w:val="24"/>
                <w:szCs w:val="24"/>
              </w:rPr>
              <w:t>教学特色鲜明，通过提问、讨论等多种教学方法调动学习者学习积极性，教学效果较好。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7" w:hRule="atLeast"/>
          <w:tblCellSpacing w:w="7" w:type="dxa"/>
          <w:jc w:val="center"/>
        </w:trPr>
        <w:tc>
          <w:tcPr>
            <w:tcW w:w="1487" w:type="dxa"/>
            <w:vMerge w:val="continue"/>
            <w:shd w:val="clear" w:color="auto" w:fill="FFFFFF"/>
            <w:vAlign w:val="center"/>
          </w:tcPr>
          <w:p>
            <w:pPr>
              <w:jc w:val="center"/>
              <w:rPr>
                <w:rFonts w:ascii="仿宋_GB2312" w:eastAsia="仿宋_GB2312"/>
                <w:sz w:val="24"/>
                <w:szCs w:val="24"/>
              </w:rPr>
            </w:pPr>
          </w:p>
        </w:tc>
        <w:tc>
          <w:tcPr>
            <w:tcW w:w="261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敬业</w:t>
            </w:r>
          </w:p>
        </w:tc>
        <w:tc>
          <w:tcPr>
            <w:tcW w:w="10726" w:type="dxa"/>
            <w:shd w:val="clear" w:color="auto" w:fill="FFFFFF"/>
            <w:vAlign w:val="center"/>
          </w:tcPr>
          <w:p>
            <w:pPr>
              <w:rPr>
                <w:rFonts w:ascii="仿宋_GB2312" w:eastAsia="仿宋_GB2312"/>
                <w:sz w:val="24"/>
                <w:szCs w:val="24"/>
              </w:rPr>
            </w:pPr>
            <w:r>
              <w:rPr>
                <w:rFonts w:hint="eastAsia" w:ascii="仿宋_GB2312" w:eastAsia="仿宋_GB2312"/>
                <w:sz w:val="24"/>
                <w:szCs w:val="24"/>
              </w:rPr>
              <w:t>准备充分，严谨认真，维护师德。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1" w:hRule="atLeast"/>
          <w:tblCellSpacing w:w="7" w:type="dxa"/>
          <w:jc w:val="center"/>
        </w:trPr>
        <w:tc>
          <w:tcPr>
            <w:tcW w:w="1487" w:type="dxa"/>
            <w:vMerge w:val="restart"/>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课程内容</w:t>
            </w:r>
          </w:p>
          <w:p>
            <w:pPr>
              <w:jc w:val="center"/>
              <w:rPr>
                <w:rFonts w:ascii="仿宋_GB2312" w:eastAsia="仿宋_GB2312"/>
                <w:sz w:val="24"/>
                <w:szCs w:val="24"/>
              </w:rPr>
            </w:pPr>
            <w:r>
              <w:rPr>
                <w:rFonts w:hint="eastAsia" w:ascii="仿宋_GB2312" w:eastAsia="仿宋_GB2312"/>
                <w:sz w:val="24"/>
                <w:szCs w:val="24"/>
              </w:rPr>
              <w:t>（10分）</w:t>
            </w:r>
          </w:p>
        </w:tc>
        <w:tc>
          <w:tcPr>
            <w:tcW w:w="261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内容组织</w:t>
            </w:r>
          </w:p>
        </w:tc>
        <w:tc>
          <w:tcPr>
            <w:tcW w:w="10726" w:type="dxa"/>
            <w:shd w:val="clear" w:color="auto" w:fill="FFFFFF"/>
            <w:vAlign w:val="center"/>
          </w:tcPr>
          <w:p>
            <w:pPr>
              <w:rPr>
                <w:rFonts w:ascii="仿宋_GB2312" w:eastAsia="仿宋_GB2312"/>
                <w:sz w:val="24"/>
                <w:szCs w:val="24"/>
              </w:rPr>
            </w:pPr>
            <w:r>
              <w:rPr>
                <w:rFonts w:hint="eastAsia" w:ascii="仿宋_GB2312" w:eastAsia="仿宋_GB2312"/>
                <w:sz w:val="24"/>
                <w:szCs w:val="24"/>
              </w:rPr>
              <w:t>理论联系实际，课内外结合，融知识传授、能力培养、素质教育于一体。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1" w:hRule="atLeast"/>
          <w:tblCellSpacing w:w="7" w:type="dxa"/>
          <w:jc w:val="center"/>
        </w:trPr>
        <w:tc>
          <w:tcPr>
            <w:tcW w:w="1487" w:type="dxa"/>
            <w:vMerge w:val="continue"/>
            <w:shd w:val="clear" w:color="auto" w:fill="FFFFFF"/>
            <w:vAlign w:val="center"/>
          </w:tcPr>
          <w:p>
            <w:pPr>
              <w:jc w:val="center"/>
              <w:rPr>
                <w:rFonts w:ascii="仿宋_GB2312" w:eastAsia="仿宋_GB2312"/>
                <w:sz w:val="24"/>
                <w:szCs w:val="24"/>
              </w:rPr>
            </w:pPr>
          </w:p>
        </w:tc>
        <w:tc>
          <w:tcPr>
            <w:tcW w:w="261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内容本体</w:t>
            </w:r>
          </w:p>
        </w:tc>
        <w:tc>
          <w:tcPr>
            <w:tcW w:w="10726" w:type="dxa"/>
            <w:shd w:val="clear" w:color="auto" w:fill="FFFFFF"/>
            <w:vAlign w:val="center"/>
          </w:tcPr>
          <w:p>
            <w:pPr>
              <w:rPr>
                <w:rFonts w:ascii="仿宋_GB2312" w:eastAsia="仿宋_GB2312"/>
                <w:sz w:val="24"/>
                <w:szCs w:val="24"/>
              </w:rPr>
            </w:pPr>
            <w:r>
              <w:rPr>
                <w:rFonts w:hint="eastAsia" w:ascii="仿宋_GB2312" w:eastAsia="仿宋_GB2312"/>
                <w:sz w:val="24"/>
                <w:szCs w:val="24"/>
              </w:rPr>
              <w:t>课程内容具备科学性、先进性、合理性、丰富性；具有特色。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1" w:hRule="atLeast"/>
          <w:tblCellSpacing w:w="7" w:type="dxa"/>
          <w:jc w:val="center"/>
        </w:trPr>
        <w:tc>
          <w:tcPr>
            <w:tcW w:w="1487" w:type="dxa"/>
            <w:vMerge w:val="restart"/>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技术保障</w:t>
            </w:r>
          </w:p>
          <w:p>
            <w:pPr>
              <w:jc w:val="center"/>
              <w:rPr>
                <w:rFonts w:ascii="仿宋_GB2312" w:eastAsia="仿宋_GB2312"/>
                <w:sz w:val="24"/>
                <w:szCs w:val="24"/>
              </w:rPr>
            </w:pPr>
            <w:r>
              <w:rPr>
                <w:rFonts w:hint="eastAsia" w:ascii="仿宋_GB2312" w:eastAsia="仿宋_GB2312"/>
                <w:sz w:val="24"/>
                <w:szCs w:val="24"/>
              </w:rPr>
              <w:t>（20分）</w:t>
            </w:r>
          </w:p>
        </w:tc>
        <w:tc>
          <w:tcPr>
            <w:tcW w:w="261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网站建设情况</w:t>
            </w:r>
          </w:p>
        </w:tc>
        <w:tc>
          <w:tcPr>
            <w:tcW w:w="10726" w:type="dxa"/>
            <w:shd w:val="clear" w:color="auto" w:fill="FFFFFF"/>
            <w:vAlign w:val="center"/>
          </w:tcPr>
          <w:p>
            <w:pPr>
              <w:rPr>
                <w:rFonts w:ascii="仿宋_GB2312" w:eastAsia="仿宋_GB2312"/>
                <w:sz w:val="24"/>
                <w:szCs w:val="24"/>
              </w:rPr>
            </w:pPr>
            <w:r>
              <w:rPr>
                <w:rFonts w:hint="eastAsia" w:ascii="仿宋_GB2312" w:eastAsia="仿宋_GB2312"/>
                <w:sz w:val="24"/>
                <w:szCs w:val="24"/>
              </w:rPr>
              <w:t>学校建设有专门的课程网站并开通了课程共享渠道，网站点播数量较多且播放清晰顺畅。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1" w:hRule="atLeast"/>
          <w:tblCellSpacing w:w="7" w:type="dxa"/>
          <w:jc w:val="center"/>
        </w:trPr>
        <w:tc>
          <w:tcPr>
            <w:tcW w:w="1487" w:type="dxa"/>
            <w:vMerge w:val="continue"/>
            <w:shd w:val="clear" w:color="auto" w:fill="FFFFFF"/>
            <w:vAlign w:val="center"/>
          </w:tcPr>
          <w:p>
            <w:pPr>
              <w:jc w:val="center"/>
              <w:rPr>
                <w:rFonts w:ascii="仿宋_GB2312" w:eastAsia="仿宋_GB2312"/>
                <w:sz w:val="24"/>
                <w:szCs w:val="24"/>
              </w:rPr>
            </w:pPr>
          </w:p>
        </w:tc>
        <w:tc>
          <w:tcPr>
            <w:tcW w:w="261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课程视频制作情况</w:t>
            </w:r>
          </w:p>
        </w:tc>
        <w:tc>
          <w:tcPr>
            <w:tcW w:w="10726" w:type="dxa"/>
            <w:shd w:val="clear" w:color="auto" w:fill="FFFFFF"/>
            <w:vAlign w:val="center"/>
          </w:tcPr>
          <w:p>
            <w:pPr>
              <w:rPr>
                <w:rFonts w:ascii="仿宋_GB2312" w:eastAsia="仿宋_GB2312"/>
                <w:sz w:val="24"/>
                <w:szCs w:val="24"/>
              </w:rPr>
            </w:pPr>
            <w:r>
              <w:rPr>
                <w:rFonts w:hint="eastAsia" w:ascii="仿宋_GB2312" w:eastAsia="仿宋_GB2312"/>
                <w:sz w:val="24"/>
                <w:szCs w:val="24"/>
              </w:rPr>
              <w:t>课程视频录像拍摄和制作水平较高，讲数超过4讲，每讲时长达到30分钟以上。课程制作达到了国家规定的“精品视频公开课拍摄制作技术标准（修订版）”的要求。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4" w:hRule="atLeast"/>
          <w:tblCellSpacing w:w="7" w:type="dxa"/>
          <w:jc w:val="center"/>
        </w:trPr>
        <w:tc>
          <w:tcPr>
            <w:tcW w:w="1487" w:type="dxa"/>
            <w:vMerge w:val="restart"/>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w:t>
            </w:r>
          </w:p>
          <w:p>
            <w:pPr>
              <w:jc w:val="center"/>
              <w:rPr>
                <w:rFonts w:ascii="仿宋_GB2312" w:eastAsia="仿宋_GB2312"/>
                <w:sz w:val="24"/>
                <w:szCs w:val="24"/>
              </w:rPr>
            </w:pPr>
            <w:r>
              <w:rPr>
                <w:rFonts w:hint="eastAsia" w:ascii="仿宋_GB2312" w:eastAsia="仿宋_GB2312"/>
                <w:sz w:val="24"/>
                <w:szCs w:val="24"/>
              </w:rPr>
              <w:t>（40分）</w:t>
            </w:r>
          </w:p>
        </w:tc>
        <w:tc>
          <w:tcPr>
            <w:tcW w:w="2611"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建设成果的创新性</w:t>
            </w:r>
          </w:p>
        </w:tc>
        <w:tc>
          <w:tcPr>
            <w:tcW w:w="10726" w:type="dxa"/>
            <w:shd w:val="clear" w:color="auto" w:fill="auto"/>
            <w:vAlign w:val="center"/>
          </w:tcPr>
          <w:p>
            <w:pPr>
              <w:rPr>
                <w:rFonts w:ascii="仿宋_GB2312" w:eastAsia="仿宋_GB2312"/>
                <w:sz w:val="24"/>
                <w:szCs w:val="24"/>
              </w:rPr>
            </w:pPr>
            <w:r>
              <w:rPr>
                <w:rFonts w:hint="eastAsia" w:ascii="仿宋_GB2312" w:eastAsia="仿宋_GB2312" w:hAnsiTheme="minorEastAsia"/>
                <w:bCs/>
                <w:sz w:val="24"/>
                <w:szCs w:val="24"/>
              </w:rPr>
              <w:t>与同类课程比较，本课程在某一(些)方面有实质创新，具有鲜明特色</w:t>
            </w:r>
            <w:r>
              <w:rPr>
                <w:rFonts w:hint="eastAsia" w:ascii="仿宋_GB2312" w:eastAsia="仿宋_GB2312" w:hAnsiTheme="minorEastAsia"/>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1" w:hRule="atLeast"/>
          <w:tblCellSpacing w:w="7" w:type="dxa"/>
          <w:jc w:val="center"/>
        </w:trPr>
        <w:tc>
          <w:tcPr>
            <w:tcW w:w="1487" w:type="dxa"/>
            <w:vMerge w:val="continue"/>
            <w:shd w:val="clear" w:color="auto" w:fill="auto"/>
            <w:vAlign w:val="center"/>
          </w:tcPr>
          <w:p>
            <w:pPr>
              <w:rPr>
                <w:rFonts w:ascii="仿宋_GB2312" w:eastAsia="仿宋_GB2312"/>
                <w:sz w:val="24"/>
                <w:szCs w:val="24"/>
              </w:rPr>
            </w:pPr>
          </w:p>
        </w:tc>
        <w:tc>
          <w:tcPr>
            <w:tcW w:w="2611"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实践应用情况</w:t>
            </w:r>
          </w:p>
        </w:tc>
        <w:tc>
          <w:tcPr>
            <w:tcW w:w="10726" w:type="dxa"/>
            <w:shd w:val="clear" w:color="auto" w:fill="auto"/>
            <w:vAlign w:val="center"/>
          </w:tcPr>
          <w:p>
            <w:pPr>
              <w:rPr>
                <w:rFonts w:ascii="仿宋_GB2312" w:eastAsia="仿宋_GB2312"/>
                <w:sz w:val="24"/>
                <w:szCs w:val="24"/>
              </w:rPr>
            </w:pPr>
            <w:r>
              <w:rPr>
                <w:rFonts w:hint="eastAsia" w:ascii="仿宋_GB2312" w:eastAsia="仿宋_GB2312"/>
                <w:sz w:val="24"/>
                <w:szCs w:val="24"/>
              </w:rPr>
              <w:t>课程已经在本校或者其他高校教学实践过程中得到检验，课程对于本专业或相关专业教学促进作用明显，课程的反响较好，评价较高。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6" w:hRule="atLeast"/>
          <w:tblCellSpacing w:w="7" w:type="dxa"/>
          <w:jc w:val="center"/>
        </w:trPr>
        <w:tc>
          <w:tcPr>
            <w:tcW w:w="1487" w:type="dxa"/>
            <w:vMerge w:val="continue"/>
            <w:shd w:val="clear" w:color="auto" w:fill="auto"/>
            <w:vAlign w:val="center"/>
          </w:tcPr>
          <w:p>
            <w:pPr>
              <w:rPr>
                <w:rFonts w:ascii="仿宋_GB2312" w:eastAsia="仿宋_GB2312"/>
                <w:sz w:val="24"/>
                <w:szCs w:val="24"/>
              </w:rPr>
            </w:pPr>
          </w:p>
        </w:tc>
        <w:tc>
          <w:tcPr>
            <w:tcW w:w="2611"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成果价值</w:t>
            </w:r>
          </w:p>
        </w:tc>
        <w:tc>
          <w:tcPr>
            <w:tcW w:w="10726" w:type="dxa"/>
            <w:shd w:val="clear" w:color="auto" w:fill="auto"/>
            <w:vAlign w:val="center"/>
          </w:tcPr>
          <w:p>
            <w:pPr>
              <w:rPr>
                <w:rFonts w:ascii="仿宋_GB2312" w:eastAsia="仿宋_GB2312"/>
                <w:sz w:val="24"/>
                <w:szCs w:val="24"/>
              </w:rPr>
            </w:pPr>
            <w:r>
              <w:rPr>
                <w:rFonts w:hint="eastAsia" w:ascii="仿宋_GB2312" w:eastAsia="仿宋_GB2312"/>
                <w:sz w:val="24"/>
                <w:szCs w:val="24"/>
              </w:rPr>
              <w:t>课程建设成果丰富、体系完备且课程质量较高，采用了先进的教学方式和前沿的教学内容，注重突出学校办学特色和学科优势，在国内同类型课程中具有代表性和示范性。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6" w:hRule="atLeast"/>
          <w:tblCellSpacing w:w="7" w:type="dxa"/>
          <w:jc w:val="center"/>
        </w:trPr>
        <w:tc>
          <w:tcPr>
            <w:tcW w:w="1487" w:type="dxa"/>
            <w:vMerge w:val="continue"/>
            <w:shd w:val="clear" w:color="auto" w:fill="auto"/>
            <w:vAlign w:val="center"/>
          </w:tcPr>
          <w:p>
            <w:pPr>
              <w:rPr>
                <w:rFonts w:ascii="仿宋_GB2312" w:eastAsia="仿宋_GB2312"/>
                <w:sz w:val="24"/>
                <w:szCs w:val="24"/>
              </w:rPr>
            </w:pPr>
          </w:p>
        </w:tc>
        <w:tc>
          <w:tcPr>
            <w:tcW w:w="2611" w:type="dxa"/>
            <w:shd w:val="clear" w:color="auto" w:fill="auto"/>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推广及影响力</w:t>
            </w:r>
          </w:p>
        </w:tc>
        <w:tc>
          <w:tcPr>
            <w:tcW w:w="10726" w:type="dxa"/>
            <w:shd w:val="clear" w:color="auto" w:fill="auto"/>
            <w:vAlign w:val="center"/>
          </w:tcPr>
          <w:p>
            <w:pPr>
              <w:rPr>
                <w:rFonts w:ascii="仿宋_GB2312" w:eastAsia="仿宋_GB2312"/>
                <w:sz w:val="24"/>
                <w:szCs w:val="24"/>
              </w:rPr>
            </w:pPr>
            <w:r>
              <w:rPr>
                <w:rFonts w:hint="eastAsia" w:ascii="仿宋_GB2312" w:eastAsia="仿宋_GB2312"/>
                <w:sz w:val="24"/>
                <w:szCs w:val="24"/>
              </w:rPr>
              <w:t>课程符合网络传播的特点，已被其他高校或单位采用，在省内外具有一定影响力和知名度，反馈良好。</w:t>
            </w:r>
          </w:p>
        </w:tc>
      </w:tr>
    </w:tbl>
    <w:p>
      <w:pPr>
        <w:pStyle w:val="2"/>
        <w:bidi w:val="0"/>
      </w:pPr>
      <w:bookmarkStart w:id="4" w:name="_Toc20485"/>
      <w:r>
        <w:rPr>
          <w:rFonts w:hint="eastAsia"/>
        </w:rPr>
        <w:t>广东省精品资源共享课验收指标（试行）</w:t>
      </w:r>
      <w:bookmarkEnd w:id="4"/>
    </w:p>
    <w:tbl>
      <w:tblPr>
        <w:tblStyle w:val="9"/>
        <w:tblW w:w="0" w:type="auto"/>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autofit"/>
        <w:tblCellMar>
          <w:top w:w="90" w:type="dxa"/>
          <w:left w:w="90" w:type="dxa"/>
          <w:bottom w:w="90" w:type="dxa"/>
          <w:right w:w="90" w:type="dxa"/>
        </w:tblCellMar>
      </w:tblPr>
      <w:tblGrid>
        <w:gridCol w:w="2514"/>
        <w:gridCol w:w="2197"/>
        <w:gridCol w:w="1004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49" w:hRule="atLeast"/>
          <w:tblCellSpacing w:w="7" w:type="dxa"/>
          <w:jc w:val="center"/>
        </w:trPr>
        <w:tc>
          <w:tcPr>
            <w:tcW w:w="2483" w:type="dxa"/>
            <w:shd w:val="clear" w:color="auto" w:fill="FFFFFF"/>
            <w:noWrap/>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173" w:type="dxa"/>
            <w:shd w:val="clear" w:color="auto" w:fill="FFFFFF"/>
            <w:noWrap/>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0023"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249" w:hRule="atLeast"/>
          <w:tblCellSpacing w:w="7" w:type="dxa"/>
          <w:jc w:val="center"/>
        </w:trPr>
        <w:tc>
          <w:tcPr>
            <w:tcW w:w="2483" w:type="dxa"/>
            <w:vMerge w:val="restart"/>
            <w:shd w:val="clear" w:color="auto" w:fill="FFFFFF"/>
            <w:noWrap/>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基本情况（10分）</w:t>
            </w:r>
          </w:p>
        </w:tc>
        <w:tc>
          <w:tcPr>
            <w:tcW w:w="2173" w:type="dxa"/>
            <w:shd w:val="clear" w:color="auto" w:fill="FFFFFF"/>
            <w:noWrap/>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建设任务完成情况</w:t>
            </w:r>
          </w:p>
        </w:tc>
        <w:tc>
          <w:tcPr>
            <w:tcW w:w="10023" w:type="dxa"/>
            <w:shd w:val="clear" w:color="auto" w:fill="FFFFFF"/>
            <w:vAlign w:val="center"/>
          </w:tcPr>
          <w:p>
            <w:pPr>
              <w:jc w:val="left"/>
              <w:rPr>
                <w:rFonts w:ascii="仿宋_GB2312" w:eastAsia="仿宋_GB2312" w:hAnsiTheme="minorEastAsia"/>
                <w:sz w:val="24"/>
                <w:szCs w:val="24"/>
              </w:rPr>
            </w:pPr>
            <w:r>
              <w:rPr>
                <w:rFonts w:hint="eastAsia" w:ascii="仿宋_GB2312" w:eastAsia="仿宋_GB2312" w:hAnsiTheme="minorEastAsia"/>
                <w:sz w:val="24"/>
                <w:szCs w:val="24"/>
              </w:rPr>
              <w:t>基本完成了申报时预设的各项建设目标。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249" w:hRule="atLeast"/>
          <w:tblCellSpacing w:w="7" w:type="dxa"/>
          <w:jc w:val="center"/>
        </w:trPr>
        <w:tc>
          <w:tcPr>
            <w:tcW w:w="2483" w:type="dxa"/>
            <w:vMerge w:val="continue"/>
            <w:shd w:val="clear" w:color="auto" w:fill="FFFFFF"/>
            <w:noWrap/>
            <w:vAlign w:val="center"/>
          </w:tcPr>
          <w:p>
            <w:pPr>
              <w:jc w:val="center"/>
              <w:rPr>
                <w:rFonts w:ascii="仿宋_GB2312" w:eastAsia="仿宋_GB2312" w:hAnsiTheme="minorEastAsia"/>
                <w:sz w:val="24"/>
                <w:szCs w:val="24"/>
              </w:rPr>
            </w:pPr>
          </w:p>
        </w:tc>
        <w:tc>
          <w:tcPr>
            <w:tcW w:w="2173" w:type="dxa"/>
            <w:shd w:val="clear" w:color="auto" w:fill="FFFFFF"/>
            <w:noWrap/>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建设思路</w:t>
            </w:r>
          </w:p>
        </w:tc>
        <w:tc>
          <w:tcPr>
            <w:tcW w:w="10023" w:type="dxa"/>
            <w:shd w:val="clear" w:color="auto" w:fill="FFFFFF"/>
            <w:vAlign w:val="center"/>
          </w:tcPr>
          <w:p>
            <w:pPr>
              <w:jc w:val="left"/>
              <w:rPr>
                <w:rFonts w:ascii="仿宋_GB2312" w:eastAsia="仿宋_GB2312" w:hAnsiTheme="minorEastAsia"/>
                <w:sz w:val="24"/>
                <w:szCs w:val="24"/>
              </w:rPr>
            </w:pPr>
            <w:r>
              <w:rPr>
                <w:rFonts w:hint="eastAsia" w:ascii="仿宋_GB2312" w:eastAsia="仿宋_GB2312" w:hAnsiTheme="minorEastAsia"/>
                <w:sz w:val="24"/>
                <w:szCs w:val="24"/>
              </w:rPr>
              <w:t>建设思路清晰，优势和特色显著。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55" w:hRule="atLeast"/>
          <w:tblCellSpacing w:w="7" w:type="dxa"/>
          <w:jc w:val="center"/>
        </w:trPr>
        <w:tc>
          <w:tcPr>
            <w:tcW w:w="2483" w:type="dxa"/>
            <w:vMerge w:val="restart"/>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课程建设团队（10分）</w:t>
            </w:r>
          </w:p>
        </w:tc>
        <w:tc>
          <w:tcPr>
            <w:tcW w:w="217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课程负责人</w:t>
            </w:r>
          </w:p>
        </w:tc>
        <w:tc>
          <w:tcPr>
            <w:tcW w:w="10023" w:type="dxa"/>
            <w:shd w:val="clear" w:color="auto" w:fill="FFFFFF"/>
            <w:vAlign w:val="center"/>
          </w:tcPr>
          <w:p>
            <w:pPr>
              <w:rPr>
                <w:rFonts w:ascii="仿宋_GB2312" w:eastAsia="仿宋_GB2312" w:hAnsiTheme="minorEastAsia"/>
                <w:sz w:val="24"/>
                <w:szCs w:val="24"/>
                <w:highlight w:val="yellow"/>
              </w:rPr>
            </w:pPr>
            <w:r>
              <w:rPr>
                <w:rFonts w:hint="eastAsia" w:ascii="仿宋_GB2312" w:eastAsia="仿宋_GB2312" w:hAnsiTheme="minorEastAsia"/>
                <w:bCs/>
                <w:sz w:val="24"/>
                <w:szCs w:val="24"/>
              </w:rPr>
              <w:t>具有良好师德，学术造诣深厚，具有高级专业技术职务；负责本课程建设和教学工作，教学经验丰富；教学能力强，教学特色鲜明，教学成效显著。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55" w:hRule="atLeast"/>
          <w:tblCellSpacing w:w="7" w:type="dxa"/>
          <w:jc w:val="center"/>
        </w:trPr>
        <w:tc>
          <w:tcPr>
            <w:tcW w:w="2483" w:type="dxa"/>
            <w:vMerge w:val="continue"/>
            <w:shd w:val="clear" w:color="auto" w:fill="FFFFFF"/>
            <w:vAlign w:val="center"/>
          </w:tcPr>
          <w:p>
            <w:pPr>
              <w:rPr>
                <w:rFonts w:ascii="仿宋_GB2312" w:eastAsia="仿宋_GB2312" w:hAnsiTheme="minorEastAsia"/>
                <w:sz w:val="24"/>
                <w:szCs w:val="24"/>
              </w:rPr>
            </w:pPr>
          </w:p>
        </w:tc>
        <w:tc>
          <w:tcPr>
            <w:tcW w:w="217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团队成员</w:t>
            </w:r>
          </w:p>
        </w:tc>
        <w:tc>
          <w:tcPr>
            <w:tcW w:w="1002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团队知识结构、年龄结构、学缘结构合理；团队成员中包括专业教师和教育技术骨干，任务分工合理。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0" w:hRule="atLeast"/>
          <w:tblCellSpacing w:w="7" w:type="dxa"/>
          <w:jc w:val="center"/>
        </w:trPr>
        <w:tc>
          <w:tcPr>
            <w:tcW w:w="2483" w:type="dxa"/>
            <w:vMerge w:val="restart"/>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课程建设与实施（20分）</w:t>
            </w:r>
          </w:p>
        </w:tc>
        <w:tc>
          <w:tcPr>
            <w:tcW w:w="2173" w:type="dxa"/>
            <w:shd w:val="clear" w:color="auto" w:fill="FFFFFF"/>
            <w:vAlign w:val="center"/>
          </w:tcPr>
          <w:p>
            <w:pPr>
              <w:jc w:val="center"/>
              <w:rPr>
                <w:rFonts w:ascii="仿宋_GB2312" w:eastAsia="仿宋_GB2312" w:hAnsiTheme="minorEastAsia"/>
                <w:bCs/>
                <w:sz w:val="24"/>
                <w:szCs w:val="24"/>
              </w:rPr>
            </w:pPr>
            <w:r>
              <w:rPr>
                <w:rFonts w:hint="eastAsia" w:ascii="仿宋_GB2312" w:eastAsia="仿宋_GB2312" w:hAnsiTheme="minorEastAsia"/>
                <w:bCs/>
                <w:sz w:val="24"/>
                <w:szCs w:val="24"/>
              </w:rPr>
              <w:t>内容定位</w:t>
            </w:r>
          </w:p>
        </w:tc>
        <w:tc>
          <w:tcPr>
            <w:tcW w:w="10023" w:type="dxa"/>
            <w:shd w:val="clear" w:color="auto" w:fill="FFFFFF"/>
            <w:vAlign w:val="center"/>
          </w:tcPr>
          <w:p>
            <w:pPr>
              <w:rPr>
                <w:rFonts w:ascii="仿宋_GB2312" w:eastAsia="仿宋_GB2312" w:hAnsiTheme="minorEastAsia"/>
                <w:kern w:val="0"/>
                <w:sz w:val="24"/>
                <w:szCs w:val="24"/>
              </w:rPr>
            </w:pPr>
            <w:r>
              <w:rPr>
                <w:rFonts w:hint="eastAsia" w:ascii="仿宋_GB2312" w:eastAsia="仿宋_GB2312" w:hAnsiTheme="minorEastAsia"/>
                <w:bCs/>
                <w:sz w:val="24"/>
                <w:szCs w:val="24"/>
              </w:rPr>
              <w:t>课程定位明确，对实现人才培养目标起重要的支撑或促进作用，且与前导、后续课程衔接得当。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0" w:hRule="atLeast"/>
          <w:tblCellSpacing w:w="7" w:type="dxa"/>
          <w:jc w:val="center"/>
        </w:trPr>
        <w:tc>
          <w:tcPr>
            <w:tcW w:w="2483" w:type="dxa"/>
            <w:vMerge w:val="continue"/>
            <w:shd w:val="clear" w:color="auto" w:fill="FFFFFF"/>
            <w:vAlign w:val="center"/>
          </w:tcPr>
          <w:p>
            <w:pPr>
              <w:rPr>
                <w:rFonts w:ascii="仿宋_GB2312" w:eastAsia="仿宋_GB2312" w:hAnsiTheme="minorEastAsia"/>
                <w:sz w:val="24"/>
                <w:szCs w:val="24"/>
              </w:rPr>
            </w:pPr>
          </w:p>
        </w:tc>
        <w:tc>
          <w:tcPr>
            <w:tcW w:w="217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内容组织</w:t>
            </w:r>
          </w:p>
        </w:tc>
        <w:tc>
          <w:tcPr>
            <w:tcW w:w="1002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遵循学习者的认知规律和能力培养规律安排教学内容、设计课程模块或教学单元，科学设计教学环节，合理分配教学时数，理论联系实际，课内课外有机结合，融知识传授、能力培养、素质教育于一体。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0" w:hRule="atLeast"/>
          <w:tblCellSpacing w:w="7" w:type="dxa"/>
          <w:jc w:val="center"/>
        </w:trPr>
        <w:tc>
          <w:tcPr>
            <w:tcW w:w="2483" w:type="dxa"/>
            <w:vMerge w:val="continue"/>
            <w:shd w:val="clear" w:color="auto" w:fill="FFFFFF"/>
            <w:vAlign w:val="center"/>
          </w:tcPr>
          <w:p>
            <w:pPr>
              <w:rPr>
                <w:rFonts w:ascii="仿宋_GB2312" w:eastAsia="仿宋_GB2312" w:hAnsiTheme="minorEastAsia"/>
                <w:sz w:val="24"/>
                <w:szCs w:val="24"/>
              </w:rPr>
            </w:pPr>
          </w:p>
        </w:tc>
        <w:tc>
          <w:tcPr>
            <w:tcW w:w="217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内容选择</w:t>
            </w:r>
          </w:p>
        </w:tc>
        <w:tc>
          <w:tcPr>
            <w:tcW w:w="1002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体现现代教育思想，符合教育教学规律，具有基础性、科学性、系统性、先进性、适应性和针对性。适应开放教育和辅助学习需要，有助于学习者创新能力、实践能力和可持续发展能力的培养。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0" w:hRule="atLeast"/>
          <w:tblCellSpacing w:w="7" w:type="dxa"/>
          <w:jc w:val="center"/>
        </w:trPr>
        <w:tc>
          <w:tcPr>
            <w:tcW w:w="2483" w:type="dxa"/>
            <w:vMerge w:val="continue"/>
            <w:shd w:val="clear" w:color="auto" w:fill="FFFFFF"/>
            <w:vAlign w:val="center"/>
          </w:tcPr>
          <w:p>
            <w:pPr>
              <w:rPr>
                <w:rFonts w:ascii="仿宋_GB2312" w:eastAsia="仿宋_GB2312" w:hAnsiTheme="minorEastAsia"/>
                <w:sz w:val="24"/>
                <w:szCs w:val="24"/>
              </w:rPr>
            </w:pPr>
          </w:p>
        </w:tc>
        <w:tc>
          <w:tcPr>
            <w:tcW w:w="217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教学方法和手段</w:t>
            </w:r>
          </w:p>
        </w:tc>
        <w:tc>
          <w:tcPr>
            <w:tcW w:w="1002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重视探究性学习、研究性学习，</w:t>
            </w:r>
            <w:r>
              <w:rPr>
                <w:rFonts w:hint="eastAsia" w:ascii="仿宋_GB2312" w:eastAsia="仿宋_GB2312" w:hAnsiTheme="minorEastAsia"/>
                <w:sz w:val="24"/>
                <w:szCs w:val="24"/>
              </w:rPr>
              <w:t>能根据课程内容和学生特点，</w:t>
            </w:r>
            <w:r>
              <w:rPr>
                <w:rFonts w:hint="eastAsia" w:ascii="仿宋_GB2312" w:eastAsia="仿宋_GB2312" w:hAnsiTheme="minorEastAsia"/>
                <w:bCs/>
                <w:sz w:val="24"/>
                <w:szCs w:val="24"/>
              </w:rPr>
              <w:t>灵活运用多种恰当的教学方法和教学手段，有效调动学生学习的积极性，激发学生学习兴趣，促进学生学习能力发展，教学效果好。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0" w:hRule="atLeast"/>
          <w:tblCellSpacing w:w="7" w:type="dxa"/>
          <w:jc w:val="center"/>
        </w:trPr>
        <w:tc>
          <w:tcPr>
            <w:tcW w:w="2483" w:type="dxa"/>
            <w:vMerge w:val="restart"/>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课程资源（25分）</w:t>
            </w:r>
          </w:p>
        </w:tc>
        <w:tc>
          <w:tcPr>
            <w:tcW w:w="217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资源建设</w:t>
            </w:r>
          </w:p>
        </w:tc>
        <w:tc>
          <w:tcPr>
            <w:tcW w:w="1002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课程基本资源质量高，能系统反映本课程教学理念、教学思想、教学设计，及时反映高等教育教学改革和社会、科技发展的成果，持续更新和完善课程教学资源。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0" w:hRule="atLeast"/>
          <w:tblCellSpacing w:w="7" w:type="dxa"/>
          <w:jc w:val="center"/>
        </w:trPr>
        <w:tc>
          <w:tcPr>
            <w:tcW w:w="2483" w:type="dxa"/>
            <w:vMerge w:val="continue"/>
            <w:shd w:val="clear" w:color="auto" w:fill="FFFFFF"/>
            <w:vAlign w:val="center"/>
          </w:tcPr>
          <w:p>
            <w:pPr>
              <w:rPr>
                <w:rFonts w:ascii="仿宋_GB2312" w:eastAsia="仿宋_GB2312" w:hAnsiTheme="minorEastAsia"/>
                <w:sz w:val="24"/>
                <w:szCs w:val="24"/>
              </w:rPr>
            </w:pPr>
          </w:p>
        </w:tc>
        <w:tc>
          <w:tcPr>
            <w:tcW w:w="217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资源组织</w:t>
            </w:r>
          </w:p>
        </w:tc>
        <w:tc>
          <w:tcPr>
            <w:tcW w:w="10023" w:type="dxa"/>
            <w:shd w:val="clear" w:color="auto" w:fill="FFFFFF"/>
            <w:vAlign w:val="center"/>
          </w:tcPr>
          <w:p>
            <w:pPr>
              <w:rPr>
                <w:rFonts w:ascii="仿宋_GB2312" w:eastAsia="仿宋_GB2312" w:hAnsiTheme="minorEastAsia"/>
                <w:bCs/>
                <w:sz w:val="24"/>
                <w:szCs w:val="24"/>
              </w:rPr>
            </w:pPr>
            <w:r>
              <w:rPr>
                <w:rFonts w:hint="eastAsia" w:ascii="仿宋_GB2312" w:eastAsia="仿宋_GB2312" w:hAnsiTheme="minorEastAsia"/>
                <w:sz w:val="24"/>
                <w:szCs w:val="24"/>
              </w:rPr>
              <w:t>各类基本资源均按照教学单元、专题或模块的框架，予以合理、有序的组织、配置和应用，与知识点、技能点对应清晰，导航简明。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0" w:hRule="atLeast"/>
          <w:tblCellSpacing w:w="7" w:type="dxa"/>
          <w:jc w:val="center"/>
        </w:trPr>
        <w:tc>
          <w:tcPr>
            <w:tcW w:w="2483" w:type="dxa"/>
            <w:vMerge w:val="continue"/>
            <w:shd w:val="clear" w:color="auto" w:fill="FFFFFF"/>
            <w:vAlign w:val="center"/>
          </w:tcPr>
          <w:p>
            <w:pPr>
              <w:rPr>
                <w:rFonts w:ascii="仿宋_GB2312" w:eastAsia="仿宋_GB2312" w:hAnsiTheme="minorEastAsia"/>
                <w:sz w:val="24"/>
                <w:szCs w:val="24"/>
              </w:rPr>
            </w:pPr>
          </w:p>
        </w:tc>
        <w:tc>
          <w:tcPr>
            <w:tcW w:w="217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教学录像</w:t>
            </w:r>
          </w:p>
        </w:tc>
        <w:tc>
          <w:tcPr>
            <w:tcW w:w="1002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教学录像与教学大纲或教学日历匹配，进程合理；课程内容完整，授课人表述准确。教学录像布局合理，能充分展现课堂教学活动实况和本课程特色，录像制作水平较高，图像、声音播放清晰流畅。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0" w:hRule="atLeast"/>
          <w:tblCellSpacing w:w="7" w:type="dxa"/>
          <w:jc w:val="center"/>
        </w:trPr>
        <w:tc>
          <w:tcPr>
            <w:tcW w:w="2483" w:type="dxa"/>
            <w:vMerge w:val="continue"/>
            <w:shd w:val="clear" w:color="auto" w:fill="FFFFFF"/>
            <w:vAlign w:val="center"/>
          </w:tcPr>
          <w:p>
            <w:pPr>
              <w:rPr>
                <w:rFonts w:ascii="仿宋_GB2312" w:eastAsia="仿宋_GB2312" w:hAnsiTheme="minorEastAsia"/>
                <w:sz w:val="24"/>
                <w:szCs w:val="24"/>
              </w:rPr>
            </w:pPr>
          </w:p>
        </w:tc>
        <w:tc>
          <w:tcPr>
            <w:tcW w:w="217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教案或演示文稿</w:t>
            </w:r>
          </w:p>
        </w:tc>
        <w:tc>
          <w:tcPr>
            <w:tcW w:w="1002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教案或演示文稿经过精心设计和制作，内容准确、系统、完整，有助于提高学生学习兴趣和教学效果。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0" w:hRule="atLeast"/>
          <w:tblCellSpacing w:w="7" w:type="dxa"/>
          <w:jc w:val="center"/>
        </w:trPr>
        <w:tc>
          <w:tcPr>
            <w:tcW w:w="2483" w:type="dxa"/>
            <w:vMerge w:val="continue"/>
            <w:shd w:val="clear" w:color="auto" w:fill="FFFFFF"/>
            <w:vAlign w:val="center"/>
          </w:tcPr>
          <w:p>
            <w:pPr>
              <w:rPr>
                <w:rFonts w:ascii="仿宋_GB2312" w:eastAsia="仿宋_GB2312" w:hAnsiTheme="minorEastAsia"/>
                <w:sz w:val="24"/>
                <w:szCs w:val="24"/>
              </w:rPr>
            </w:pPr>
          </w:p>
        </w:tc>
        <w:tc>
          <w:tcPr>
            <w:tcW w:w="217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其他基本资源</w:t>
            </w:r>
          </w:p>
        </w:tc>
        <w:tc>
          <w:tcPr>
            <w:tcW w:w="1002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重点难点指导、作业、参考资料目录及其他类型基本资源契合教学要求，针对性、适用性强，对提高教学效果有实质性帮助。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0" w:hRule="atLeast"/>
          <w:tblCellSpacing w:w="7" w:type="dxa"/>
          <w:jc w:val="center"/>
        </w:trPr>
        <w:tc>
          <w:tcPr>
            <w:tcW w:w="248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知识产权保护（10分）</w:t>
            </w:r>
          </w:p>
        </w:tc>
        <w:tc>
          <w:tcPr>
            <w:tcW w:w="2173" w:type="dxa"/>
            <w:shd w:val="clear" w:color="auto" w:fill="FFFFFF"/>
            <w:vAlign w:val="center"/>
          </w:tcPr>
          <w:p>
            <w:pPr>
              <w:jc w:val="center"/>
              <w:rPr>
                <w:rFonts w:ascii="仿宋_GB2312" w:eastAsia="仿宋_GB2312" w:hAnsiTheme="minorEastAsia"/>
                <w:bCs/>
                <w:sz w:val="24"/>
                <w:szCs w:val="24"/>
              </w:rPr>
            </w:pPr>
            <w:r>
              <w:rPr>
                <w:rFonts w:hint="eastAsia" w:ascii="仿宋_GB2312" w:eastAsia="仿宋_GB2312" w:hAnsiTheme="minorEastAsia"/>
                <w:bCs/>
                <w:sz w:val="24"/>
                <w:szCs w:val="24"/>
              </w:rPr>
              <w:t>原创性和非原创性资源处理</w:t>
            </w:r>
          </w:p>
        </w:tc>
        <w:tc>
          <w:tcPr>
            <w:tcW w:w="10023" w:type="dxa"/>
            <w:shd w:val="clear" w:color="auto" w:fill="FFFFFF"/>
            <w:vAlign w:val="center"/>
          </w:tcPr>
          <w:p>
            <w:pPr>
              <w:rPr>
                <w:rFonts w:ascii="仿宋_GB2312" w:eastAsia="仿宋_GB2312" w:hAnsiTheme="minorEastAsia"/>
                <w:bCs/>
                <w:sz w:val="24"/>
                <w:szCs w:val="24"/>
              </w:rPr>
            </w:pPr>
            <w:r>
              <w:rPr>
                <w:rFonts w:hint="eastAsia" w:ascii="仿宋_GB2312" w:eastAsia="仿宋_GB2312" w:hAnsiTheme="minorEastAsia"/>
                <w:bCs/>
                <w:sz w:val="24"/>
                <w:szCs w:val="24"/>
              </w:rPr>
              <w:t>知识产权清晰。原创性资源比例较高。非原创性资源，除为介绍、评论某一作品或者说明某一问题，适当引用已经发表作品的非原创性资源，且已指明作品的名称和作者的姓名（名称）外，均已获得许可使用的授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79" w:hRule="atLeast"/>
          <w:tblCellSpacing w:w="7" w:type="dxa"/>
          <w:jc w:val="center"/>
        </w:trPr>
        <w:tc>
          <w:tcPr>
            <w:tcW w:w="2483" w:type="dxa"/>
            <w:vMerge w:val="restart"/>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sz w:val="24"/>
                <w:szCs w:val="24"/>
              </w:rPr>
              <w:t>建设成果（25分）</w:t>
            </w:r>
          </w:p>
          <w:p>
            <w:pPr>
              <w:rPr>
                <w:rFonts w:ascii="仿宋_GB2312" w:eastAsia="仿宋_GB2312" w:hAnsiTheme="minorEastAsia"/>
                <w:sz w:val="24"/>
                <w:szCs w:val="24"/>
              </w:rPr>
            </w:pPr>
          </w:p>
        </w:tc>
        <w:tc>
          <w:tcPr>
            <w:tcW w:w="2173" w:type="dxa"/>
            <w:shd w:val="clear" w:color="auto" w:fill="auto"/>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建设成果的创新性</w:t>
            </w:r>
          </w:p>
        </w:tc>
        <w:tc>
          <w:tcPr>
            <w:tcW w:w="10023" w:type="dxa"/>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与同类课程比较，本课程在某一(些)方面有实质创新，具有鲜明特色</w:t>
            </w:r>
            <w:r>
              <w:rPr>
                <w:rFonts w:hint="eastAsia" w:ascii="仿宋_GB2312" w:eastAsia="仿宋_GB2312" w:hAnsiTheme="minorEastAsia"/>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79" w:hRule="atLeast"/>
          <w:tblCellSpacing w:w="7" w:type="dxa"/>
          <w:jc w:val="center"/>
        </w:trPr>
        <w:tc>
          <w:tcPr>
            <w:tcW w:w="2483" w:type="dxa"/>
            <w:vMerge w:val="continue"/>
            <w:shd w:val="clear" w:color="auto" w:fill="auto"/>
            <w:vAlign w:val="center"/>
          </w:tcPr>
          <w:p>
            <w:pPr>
              <w:rPr>
                <w:rFonts w:ascii="仿宋_GB2312" w:eastAsia="仿宋_GB2312" w:hAnsiTheme="minorEastAsia"/>
                <w:sz w:val="24"/>
                <w:szCs w:val="24"/>
              </w:rPr>
            </w:pPr>
          </w:p>
        </w:tc>
        <w:tc>
          <w:tcPr>
            <w:tcW w:w="2173" w:type="dxa"/>
            <w:shd w:val="clear" w:color="auto" w:fill="auto"/>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开放共享情况</w:t>
            </w:r>
          </w:p>
        </w:tc>
        <w:tc>
          <w:tcPr>
            <w:tcW w:w="10023" w:type="dxa"/>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已建设开放的网络平台并开通较为畅通的共享渠道，课程网上共享已具有一定的点击量，受到好评。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79" w:hRule="atLeast"/>
          <w:tblCellSpacing w:w="7" w:type="dxa"/>
          <w:jc w:val="center"/>
        </w:trPr>
        <w:tc>
          <w:tcPr>
            <w:tcW w:w="2483" w:type="dxa"/>
            <w:vMerge w:val="continue"/>
            <w:shd w:val="clear" w:color="auto" w:fill="auto"/>
            <w:vAlign w:val="center"/>
          </w:tcPr>
          <w:p>
            <w:pPr>
              <w:rPr>
                <w:rFonts w:ascii="仿宋_GB2312" w:eastAsia="仿宋_GB2312" w:hAnsiTheme="minorEastAsia"/>
                <w:sz w:val="24"/>
                <w:szCs w:val="24"/>
              </w:rPr>
            </w:pPr>
          </w:p>
        </w:tc>
        <w:tc>
          <w:tcPr>
            <w:tcW w:w="2173" w:type="dxa"/>
            <w:shd w:val="clear" w:color="auto" w:fill="auto"/>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成果价值</w:t>
            </w:r>
          </w:p>
        </w:tc>
        <w:tc>
          <w:tcPr>
            <w:tcW w:w="10023" w:type="dxa"/>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建设成果</w:t>
            </w:r>
            <w:r>
              <w:rPr>
                <w:rFonts w:hint="eastAsia" w:ascii="仿宋_GB2312" w:eastAsia="仿宋_GB2312" w:hAnsiTheme="minorEastAsia"/>
                <w:sz w:val="24"/>
                <w:szCs w:val="24"/>
              </w:rPr>
              <w:t>起到良好的示范作用，对教学改革及提高人才培养质量起到积极的促进作用</w:t>
            </w:r>
            <w:r>
              <w:rPr>
                <w:rFonts w:hint="eastAsia" w:ascii="仿宋_GB2312" w:eastAsia="仿宋_GB2312" w:hAnsiTheme="minorEastAsia"/>
                <w:bCs/>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71" w:hRule="atLeast"/>
          <w:tblCellSpacing w:w="7" w:type="dxa"/>
          <w:jc w:val="center"/>
        </w:trPr>
        <w:tc>
          <w:tcPr>
            <w:tcW w:w="2483" w:type="dxa"/>
            <w:vMerge w:val="continue"/>
            <w:shd w:val="clear" w:color="auto" w:fill="auto"/>
            <w:vAlign w:val="center"/>
          </w:tcPr>
          <w:p>
            <w:pPr>
              <w:rPr>
                <w:rFonts w:ascii="仿宋_GB2312" w:eastAsia="仿宋_GB2312" w:hAnsiTheme="minorEastAsia"/>
                <w:sz w:val="24"/>
                <w:szCs w:val="24"/>
              </w:rPr>
            </w:pPr>
          </w:p>
        </w:tc>
        <w:tc>
          <w:tcPr>
            <w:tcW w:w="2173" w:type="dxa"/>
            <w:shd w:val="clear" w:color="auto" w:fill="auto"/>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推广及影响力</w:t>
            </w:r>
          </w:p>
        </w:tc>
        <w:tc>
          <w:tcPr>
            <w:tcW w:w="10023" w:type="dxa"/>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本课程的资源已在高校推广应用，对同类课程的教学质量提升发挥积极作用，对社会学习者的自主学习提供有益帮助。</w:t>
            </w:r>
          </w:p>
        </w:tc>
      </w:tr>
    </w:tbl>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pStyle w:val="2"/>
        <w:bidi w:val="0"/>
      </w:pPr>
      <w:bookmarkStart w:id="5" w:name="_Toc26694"/>
      <w:r>
        <w:rPr>
          <w:rFonts w:hint="eastAsia"/>
        </w:rPr>
        <w:t>广东省高等教育教学改革项目验收指标（试行）</w:t>
      </w:r>
      <w:bookmarkEnd w:id="5"/>
    </w:p>
    <w:tbl>
      <w:tblPr>
        <w:tblStyle w:val="9"/>
        <w:tblW w:w="14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0"/>
        <w:gridCol w:w="2268"/>
        <w:gridCol w:w="10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jc w:val="center"/>
        </w:trPr>
        <w:tc>
          <w:tcPr>
            <w:tcW w:w="2500" w:type="dxa"/>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268" w:type="dxa"/>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0038" w:type="dxa"/>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指标内涵说明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jc w:val="center"/>
        </w:trPr>
        <w:tc>
          <w:tcPr>
            <w:tcW w:w="2500" w:type="dxa"/>
            <w:vMerge w:val="restart"/>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基本情况（10分）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10038" w:type="dxa"/>
            <w:shd w:val="clear" w:color="auto" w:fill="auto"/>
            <w:vAlign w:val="center"/>
          </w:tcPr>
          <w:p>
            <w:pPr>
              <w:jc w:val="left"/>
              <w:rPr>
                <w:rFonts w:ascii="仿宋_GB2312" w:eastAsia="仿宋_GB2312"/>
                <w:sz w:val="24"/>
                <w:szCs w:val="24"/>
              </w:rPr>
            </w:pPr>
            <w:r>
              <w:rPr>
                <w:rFonts w:hint="eastAsia" w:ascii="仿宋_GB2312" w:eastAsia="仿宋_GB2312"/>
                <w:sz w:val="24"/>
                <w:szCs w:val="24"/>
              </w:rPr>
              <w:t>基本完成了申报时预设的各项建设目标。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jc w:val="center"/>
        </w:trPr>
        <w:tc>
          <w:tcPr>
            <w:tcW w:w="2500" w:type="dxa"/>
            <w:vMerge w:val="continue"/>
            <w:shd w:val="clear" w:color="auto" w:fill="auto"/>
            <w:vAlign w:val="center"/>
          </w:tcPr>
          <w:p>
            <w:pPr>
              <w:jc w:val="cente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建设思路</w:t>
            </w:r>
          </w:p>
        </w:tc>
        <w:tc>
          <w:tcPr>
            <w:tcW w:w="10038" w:type="dxa"/>
            <w:shd w:val="clear" w:color="auto" w:fill="auto"/>
            <w:vAlign w:val="center"/>
          </w:tcPr>
          <w:p>
            <w:pPr>
              <w:jc w:val="left"/>
              <w:rPr>
                <w:rFonts w:ascii="仿宋_GB2312" w:eastAsia="仿宋_GB2312"/>
                <w:sz w:val="24"/>
                <w:szCs w:val="24"/>
              </w:rPr>
            </w:pPr>
            <w:r>
              <w:rPr>
                <w:rFonts w:hint="eastAsia" w:ascii="仿宋_GB2312" w:eastAsia="仿宋_GB2312"/>
                <w:sz w:val="24"/>
                <w:szCs w:val="24"/>
              </w:rPr>
              <w:t>建设思路清晰，优势和特色显著。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00" w:type="dxa"/>
            <w:shd w:val="clear" w:color="auto" w:fill="auto"/>
            <w:vAlign w:val="center"/>
          </w:tcPr>
          <w:p>
            <w:pPr>
              <w:rPr>
                <w:rFonts w:ascii="仿宋_GB2312" w:eastAsia="仿宋_GB2312"/>
                <w:sz w:val="24"/>
                <w:szCs w:val="24"/>
              </w:rPr>
            </w:pPr>
            <w:r>
              <w:rPr>
                <w:rFonts w:hint="eastAsia" w:ascii="仿宋_GB2312" w:eastAsia="仿宋_GB2312"/>
                <w:sz w:val="24"/>
                <w:szCs w:val="24"/>
              </w:rPr>
              <w:t>项目团队基础（10分）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项目团队</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项目负责人学术水平较高且具体主持该项目，项目团队职称、学历及学科背景结构合理，团队各成员间分工协作良好。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500" w:type="dxa"/>
            <w:vMerge w:val="restart"/>
            <w:shd w:val="clear" w:color="auto" w:fill="auto"/>
            <w:vAlign w:val="center"/>
          </w:tcPr>
          <w:p>
            <w:pPr>
              <w:rPr>
                <w:rFonts w:ascii="仿宋_GB2312" w:eastAsia="仿宋_GB2312"/>
                <w:sz w:val="24"/>
                <w:szCs w:val="24"/>
              </w:rPr>
            </w:pPr>
            <w:r>
              <w:rPr>
                <w:rFonts w:hint="eastAsia" w:ascii="仿宋_GB2312" w:eastAsia="仿宋_GB2312"/>
                <w:sz w:val="24"/>
                <w:szCs w:val="24"/>
              </w:rPr>
              <w:t>项目实施及建设情况（35分）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建设实施情况</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项目按照既定实施方案进行建设，对于各阶段建设任务及完成情况都有清晰阐述。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500" w:type="dxa"/>
            <w:vMerge w:val="continue"/>
            <w:shd w:val="clear" w:color="auto" w:fill="auto"/>
            <w:vAlign w:val="center"/>
          </w:tcPr>
          <w:p>
            <w:pP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改革举措落实情况</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项目申报时预设的各项改革举措如期实施，计划解决的问题已如期得到解决。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500" w:type="dxa"/>
            <w:vMerge w:val="continue"/>
            <w:shd w:val="clear" w:color="auto" w:fill="auto"/>
            <w:vAlign w:val="center"/>
          </w:tcPr>
          <w:p>
            <w:pP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保障和支持情况</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项目实施过程中得到了学校充足的经费保障和政策支持，能够调动项目需要的研究资源和设备。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500" w:type="dxa"/>
            <w:vMerge w:val="restart"/>
            <w:shd w:val="clear" w:color="auto" w:fill="auto"/>
            <w:vAlign w:val="center"/>
          </w:tcPr>
          <w:p>
            <w:pPr>
              <w:rPr>
                <w:rFonts w:ascii="仿宋_GB2312" w:eastAsia="仿宋_GB2312"/>
                <w:sz w:val="24"/>
                <w:szCs w:val="24"/>
              </w:rPr>
            </w:pPr>
            <w:r>
              <w:rPr>
                <w:rFonts w:hint="eastAsia" w:ascii="仿宋_GB2312" w:eastAsia="仿宋_GB2312"/>
                <w:sz w:val="24"/>
                <w:szCs w:val="24"/>
              </w:rPr>
              <w:t>建设成果和应用推广（35分）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项目选题和建设成果具有理论和现实意义，对推动我省相关领域教学改革和教学水平提高具有促进作用；项目成果新颖，水平层次较高，有具体的实践成果。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2500" w:type="dxa"/>
            <w:vMerge w:val="continue"/>
            <w:shd w:val="clear" w:color="auto" w:fill="auto"/>
            <w:vAlign w:val="center"/>
          </w:tcPr>
          <w:p>
            <w:pP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实践应用情况</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项目建设成果消化、吸收、应用和整合、集成、深化已有教学改革成果，具有较高的应用推广价值并在本校教学实践中得到有效应用，解决了本学校或本专业教学实践过程中的困难和问题。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2500" w:type="dxa"/>
            <w:vMerge w:val="continue"/>
            <w:shd w:val="clear" w:color="auto" w:fill="auto"/>
            <w:vAlign w:val="center"/>
          </w:tcPr>
          <w:p>
            <w:pP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共享和推广</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项目成果受益面广，已在本校相关专业或同类院校中得到应用和推广，或项目建设成果已其他单位完整采纳。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2500" w:type="dxa"/>
            <w:shd w:val="clear" w:color="auto" w:fill="auto"/>
            <w:vAlign w:val="center"/>
          </w:tcPr>
          <w:p>
            <w:pPr>
              <w:rPr>
                <w:rFonts w:ascii="仿宋_GB2312" w:eastAsia="仿宋_GB2312"/>
                <w:sz w:val="24"/>
                <w:szCs w:val="24"/>
              </w:rPr>
            </w:pPr>
            <w:r>
              <w:rPr>
                <w:rFonts w:hint="eastAsia" w:ascii="仿宋_GB2312" w:eastAsia="仿宋_GB2312"/>
                <w:sz w:val="24"/>
                <w:szCs w:val="24"/>
              </w:rPr>
              <w:t>项目特色（10分）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项目水平与特色</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项目在专业与课程建设、教材、教学软件等教学基本建设、教学管理运行机制、教学方法改革、人才培养及教学质量保障机制等方面具有的较高水平，具有自身特色。</w:t>
            </w:r>
          </w:p>
        </w:tc>
      </w:tr>
    </w:tbl>
    <w:p>
      <w:pPr>
        <w:jc w:val="both"/>
        <w:rPr>
          <w:rFonts w:ascii="仿宋_GB2312" w:eastAsia="仿宋_GB2312"/>
          <w:b/>
          <w:sz w:val="30"/>
          <w:szCs w:val="30"/>
        </w:rPr>
      </w:pPr>
    </w:p>
    <w:p>
      <w:pPr>
        <w:pStyle w:val="2"/>
        <w:bidi w:val="0"/>
      </w:pPr>
      <w:bookmarkStart w:id="6" w:name="_Toc16825"/>
      <w:r>
        <w:rPr>
          <w:rFonts w:hint="eastAsia"/>
        </w:rPr>
        <w:t>广东省普通高等学校特色专业建设点评审指标（试行）</w:t>
      </w:r>
      <w:bookmarkEnd w:id="6"/>
    </w:p>
    <w:tbl>
      <w:tblPr>
        <w:tblStyle w:val="9"/>
        <w:tblW w:w="14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2419"/>
        <w:gridCol w:w="9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67"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一级指标</w:t>
            </w:r>
          </w:p>
        </w:tc>
        <w:tc>
          <w:tcPr>
            <w:tcW w:w="2419"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二级指标</w:t>
            </w:r>
          </w:p>
        </w:tc>
        <w:tc>
          <w:tcPr>
            <w:tcW w:w="9824"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67" w:type="dxa"/>
            <w:vMerge w:val="continue"/>
            <w:vAlign w:val="center"/>
          </w:tcPr>
          <w:p>
            <w:pPr>
              <w:rPr>
                <w:rFonts w:ascii="仿宋_GB2312" w:eastAsia="仿宋_GB2312"/>
                <w:b/>
                <w:bCs/>
                <w:sz w:val="24"/>
                <w:szCs w:val="24"/>
              </w:rPr>
            </w:pPr>
          </w:p>
        </w:tc>
        <w:tc>
          <w:tcPr>
            <w:tcW w:w="2419" w:type="dxa"/>
            <w:vMerge w:val="continue"/>
            <w:vAlign w:val="center"/>
          </w:tcPr>
          <w:p>
            <w:pPr>
              <w:jc w:val="center"/>
              <w:rPr>
                <w:rFonts w:ascii="仿宋_GB2312" w:eastAsia="仿宋_GB2312"/>
                <w:b/>
                <w:bCs/>
                <w:sz w:val="24"/>
                <w:szCs w:val="24"/>
              </w:rPr>
            </w:pPr>
          </w:p>
        </w:tc>
        <w:tc>
          <w:tcPr>
            <w:tcW w:w="9824" w:type="dxa"/>
            <w:vMerge w:val="continue"/>
            <w:vAlign w:val="center"/>
          </w:tcPr>
          <w:p>
            <w:pP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67" w:type="dxa"/>
            <w:vMerge w:val="continue"/>
            <w:vAlign w:val="center"/>
          </w:tcPr>
          <w:p>
            <w:pPr>
              <w:rPr>
                <w:rFonts w:ascii="仿宋_GB2312" w:eastAsia="仿宋_GB2312"/>
                <w:b/>
                <w:bCs/>
                <w:sz w:val="24"/>
                <w:szCs w:val="24"/>
              </w:rPr>
            </w:pPr>
          </w:p>
        </w:tc>
        <w:tc>
          <w:tcPr>
            <w:tcW w:w="2419" w:type="dxa"/>
            <w:vMerge w:val="continue"/>
            <w:vAlign w:val="center"/>
          </w:tcPr>
          <w:p>
            <w:pPr>
              <w:jc w:val="center"/>
              <w:rPr>
                <w:rFonts w:ascii="仿宋_GB2312" w:eastAsia="仿宋_GB2312"/>
                <w:b/>
                <w:bCs/>
                <w:sz w:val="24"/>
                <w:szCs w:val="24"/>
              </w:rPr>
            </w:pPr>
          </w:p>
        </w:tc>
        <w:tc>
          <w:tcPr>
            <w:tcW w:w="9824" w:type="dxa"/>
            <w:vMerge w:val="continue"/>
            <w:vAlign w:val="center"/>
          </w:tcPr>
          <w:p>
            <w:pP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367" w:type="dxa"/>
            <w:vMerge w:val="restart"/>
            <w:vAlign w:val="center"/>
          </w:tcPr>
          <w:p>
            <w:pPr>
              <w:rPr>
                <w:rFonts w:ascii="仿宋_GB2312" w:eastAsia="仿宋_GB2312"/>
                <w:bCs/>
                <w:sz w:val="24"/>
                <w:szCs w:val="24"/>
              </w:rPr>
            </w:pPr>
            <w:r>
              <w:rPr>
                <w:rFonts w:hint="eastAsia" w:ascii="仿宋_GB2312" w:eastAsia="仿宋_GB2312"/>
                <w:bCs/>
                <w:sz w:val="24"/>
                <w:szCs w:val="24"/>
              </w:rPr>
              <w:t>1.建设目标与支持保障（15分）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专业定位</w:t>
            </w:r>
          </w:p>
        </w:tc>
        <w:tc>
          <w:tcPr>
            <w:tcW w:w="9824" w:type="dxa"/>
            <w:vAlign w:val="center"/>
          </w:tcPr>
          <w:p>
            <w:pPr>
              <w:rPr>
                <w:rFonts w:ascii="仿宋_GB2312" w:eastAsia="仿宋_GB2312"/>
                <w:sz w:val="24"/>
                <w:szCs w:val="24"/>
              </w:rPr>
            </w:pPr>
            <w:r>
              <w:rPr>
                <w:rFonts w:hint="eastAsia" w:ascii="仿宋_GB2312" w:eastAsia="仿宋_GB2312"/>
                <w:sz w:val="24"/>
                <w:szCs w:val="24"/>
              </w:rPr>
              <w:t>专业定位准确，思路清晰，符合经济建设与社会发展需求，具有先进的教育思想观念，质量意识强。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专业建设措施</w:t>
            </w:r>
          </w:p>
        </w:tc>
        <w:tc>
          <w:tcPr>
            <w:tcW w:w="9824" w:type="dxa"/>
            <w:vAlign w:val="center"/>
          </w:tcPr>
          <w:p>
            <w:pPr>
              <w:rPr>
                <w:rFonts w:ascii="仿宋_GB2312" w:eastAsia="仿宋_GB2312"/>
                <w:sz w:val="24"/>
                <w:szCs w:val="24"/>
              </w:rPr>
            </w:pPr>
            <w:r>
              <w:rPr>
                <w:rFonts w:hint="eastAsia" w:ascii="仿宋_GB2312" w:eastAsia="仿宋_GB2312"/>
                <w:sz w:val="24"/>
                <w:szCs w:val="24"/>
              </w:rPr>
              <w:t>专业发展规划科学合理, 分期建设目标明确，体现学科优势和特色。专业建设措施得力，成效显著。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支持保障</w:t>
            </w:r>
          </w:p>
        </w:tc>
        <w:tc>
          <w:tcPr>
            <w:tcW w:w="9824" w:type="dxa"/>
            <w:vAlign w:val="center"/>
          </w:tcPr>
          <w:p>
            <w:pPr>
              <w:rPr>
                <w:rFonts w:ascii="仿宋_GB2312" w:eastAsia="仿宋_GB2312"/>
                <w:sz w:val="24"/>
                <w:szCs w:val="24"/>
              </w:rPr>
            </w:pPr>
            <w:r>
              <w:rPr>
                <w:rFonts w:hint="eastAsia" w:ascii="仿宋_GB2312" w:eastAsia="仿宋_GB2312"/>
                <w:sz w:val="24"/>
                <w:szCs w:val="24"/>
              </w:rPr>
              <w:t>在专业发展、课程和教材建设、人才引进和青年教师培训等方面有切实有效的政策支持和经费保障。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2367" w:type="dxa"/>
            <w:vMerge w:val="restart"/>
            <w:vAlign w:val="center"/>
          </w:tcPr>
          <w:p>
            <w:pPr>
              <w:rPr>
                <w:rFonts w:ascii="仿宋_GB2312" w:eastAsia="仿宋_GB2312"/>
                <w:bCs/>
                <w:sz w:val="24"/>
                <w:szCs w:val="24"/>
              </w:rPr>
            </w:pPr>
            <w:r>
              <w:rPr>
                <w:rFonts w:hint="eastAsia" w:ascii="仿宋_GB2312" w:eastAsia="仿宋_GB2312"/>
                <w:bCs/>
                <w:sz w:val="24"/>
                <w:szCs w:val="24"/>
              </w:rPr>
              <w:t>2.师资队伍（15分）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整体结构</w:t>
            </w:r>
          </w:p>
        </w:tc>
        <w:tc>
          <w:tcPr>
            <w:tcW w:w="9824" w:type="dxa"/>
            <w:vAlign w:val="center"/>
          </w:tcPr>
          <w:p>
            <w:pPr>
              <w:rPr>
                <w:rFonts w:ascii="仿宋_GB2312" w:eastAsia="仿宋_GB2312"/>
                <w:bCs/>
                <w:sz w:val="24"/>
                <w:szCs w:val="24"/>
              </w:rPr>
            </w:pPr>
            <w:r>
              <w:rPr>
                <w:rFonts w:hint="eastAsia" w:ascii="仿宋_GB2312" w:eastAsia="仿宋_GB2312"/>
                <w:sz w:val="24"/>
                <w:szCs w:val="24"/>
              </w:rPr>
              <w:t>队伍年龄结构、职称结构、学缘结构合理，发展趋势好。</w:t>
            </w:r>
            <w:r>
              <w:rPr>
                <w:rFonts w:hint="eastAsia" w:ascii="仿宋_GB2312" w:eastAsia="仿宋_GB2312"/>
                <w:bCs/>
                <w:sz w:val="24"/>
                <w:szCs w:val="24"/>
              </w:rPr>
              <w:t>教授、副教授比例较高，有高</w:t>
            </w:r>
            <w:r>
              <w:rPr>
                <w:rFonts w:hint="eastAsia" w:ascii="仿宋_GB2312" w:eastAsia="仿宋_GB2312"/>
                <w:sz w:val="24"/>
                <w:szCs w:val="24"/>
              </w:rPr>
              <w:t>水平、高学历学科专业带头人，并有效推动本专业的建设。形成专兼职结合的教师队伍。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师资培养</w:t>
            </w:r>
          </w:p>
        </w:tc>
        <w:tc>
          <w:tcPr>
            <w:tcW w:w="9824" w:type="dxa"/>
            <w:vAlign w:val="center"/>
          </w:tcPr>
          <w:p>
            <w:pPr>
              <w:rPr>
                <w:rFonts w:ascii="仿宋_GB2312" w:eastAsia="仿宋_GB2312"/>
                <w:sz w:val="24"/>
                <w:szCs w:val="24"/>
              </w:rPr>
            </w:pPr>
            <w:r>
              <w:rPr>
                <w:rFonts w:hint="eastAsia" w:ascii="仿宋_GB2312" w:eastAsia="仿宋_GB2312"/>
                <w:sz w:val="24"/>
                <w:szCs w:val="24"/>
              </w:rPr>
              <w:t>专业师资引进、培养规划和配套措施；有学校和行业、企业相结合的师资培养联动机制，能利用社会资源提升教师专业水平和实践能力。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教师素质</w:t>
            </w:r>
          </w:p>
        </w:tc>
        <w:tc>
          <w:tcPr>
            <w:tcW w:w="9824" w:type="dxa"/>
            <w:vAlign w:val="center"/>
          </w:tcPr>
          <w:p>
            <w:pPr>
              <w:rPr>
                <w:rFonts w:ascii="仿宋_GB2312" w:eastAsia="仿宋_GB2312"/>
                <w:sz w:val="24"/>
                <w:szCs w:val="24"/>
              </w:rPr>
            </w:pPr>
            <w:r>
              <w:rPr>
                <w:rFonts w:hint="eastAsia" w:ascii="仿宋_GB2312" w:eastAsia="仿宋_GB2312"/>
                <w:sz w:val="24"/>
                <w:szCs w:val="24"/>
              </w:rPr>
              <w:t xml:space="preserve">队伍整体素质高，有良好的科研背景和专业技术背景；专业主干课程由教授、副教授讲授；科研促进教学成效明显。项目立项以来，获省部级以上教学成果奖或同等层次的教学奖励超过1项。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2367" w:type="dxa"/>
            <w:vMerge w:val="restart"/>
            <w:vAlign w:val="center"/>
          </w:tcPr>
          <w:p>
            <w:pPr>
              <w:rPr>
                <w:rFonts w:ascii="仿宋_GB2312" w:eastAsia="仿宋_GB2312"/>
                <w:bCs/>
                <w:sz w:val="24"/>
                <w:szCs w:val="24"/>
              </w:rPr>
            </w:pPr>
            <w:r>
              <w:rPr>
                <w:rFonts w:hint="eastAsia" w:ascii="仿宋_GB2312" w:eastAsia="仿宋_GB2312"/>
                <w:bCs/>
                <w:sz w:val="24"/>
                <w:szCs w:val="24"/>
              </w:rPr>
              <w:t>3.教学条件（10分）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教学资源</w:t>
            </w:r>
          </w:p>
        </w:tc>
        <w:tc>
          <w:tcPr>
            <w:tcW w:w="9824" w:type="dxa"/>
            <w:vAlign w:val="center"/>
          </w:tcPr>
          <w:p>
            <w:pPr>
              <w:rPr>
                <w:rFonts w:ascii="仿宋_GB2312" w:eastAsia="仿宋_GB2312"/>
                <w:sz w:val="24"/>
                <w:szCs w:val="24"/>
              </w:rPr>
            </w:pPr>
            <w:r>
              <w:rPr>
                <w:rFonts w:hint="eastAsia" w:ascii="仿宋_GB2312" w:eastAsia="仿宋_GB2312"/>
                <w:sz w:val="24"/>
                <w:szCs w:val="24"/>
              </w:rPr>
              <w:t>教学基本设施（含实验室、实习基地、图书资料、校园网络建设等）能满足培养高素质人才的需要；充分开发、利用多种教学资源（如网上资源、电子教材等）。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经费投入</w:t>
            </w:r>
          </w:p>
        </w:tc>
        <w:tc>
          <w:tcPr>
            <w:tcW w:w="9824" w:type="dxa"/>
            <w:vAlign w:val="center"/>
          </w:tcPr>
          <w:p>
            <w:pPr>
              <w:rPr>
                <w:rFonts w:ascii="仿宋_GB2312" w:eastAsia="仿宋_GB2312"/>
                <w:sz w:val="24"/>
                <w:szCs w:val="24"/>
              </w:rPr>
            </w:pPr>
            <w:r>
              <w:rPr>
                <w:rFonts w:hint="eastAsia" w:ascii="仿宋_GB2312" w:eastAsia="仿宋_GB2312"/>
                <w:bCs/>
                <w:sz w:val="24"/>
                <w:szCs w:val="24"/>
              </w:rPr>
              <w:t>用于专业师资队伍建设、实验室建设、课程建设、教材建设、教学方法及现代教育技术等专项的建设经费充足。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2367" w:type="dxa"/>
            <w:vMerge w:val="restart"/>
            <w:vAlign w:val="center"/>
          </w:tcPr>
          <w:p>
            <w:pPr>
              <w:rPr>
                <w:rFonts w:ascii="仿宋_GB2312" w:eastAsia="仿宋_GB2312"/>
                <w:bCs/>
                <w:sz w:val="24"/>
                <w:szCs w:val="24"/>
              </w:rPr>
            </w:pPr>
          </w:p>
          <w:p>
            <w:pPr>
              <w:rPr>
                <w:rFonts w:ascii="仿宋_GB2312" w:eastAsia="仿宋_GB2312"/>
                <w:bCs/>
                <w:sz w:val="24"/>
                <w:szCs w:val="24"/>
              </w:rPr>
            </w:pPr>
            <w:r>
              <w:rPr>
                <w:rFonts w:hint="eastAsia" w:ascii="仿宋_GB2312" w:eastAsia="仿宋_GB2312"/>
                <w:bCs/>
                <w:sz w:val="24"/>
                <w:szCs w:val="24"/>
              </w:rPr>
              <w:t>4.建设成果（45分）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人才培养方案</w:t>
            </w:r>
          </w:p>
        </w:tc>
        <w:tc>
          <w:tcPr>
            <w:tcW w:w="9824" w:type="dxa"/>
            <w:vAlign w:val="center"/>
          </w:tcPr>
          <w:p>
            <w:pPr>
              <w:rPr>
                <w:rFonts w:ascii="仿宋_GB2312" w:eastAsia="仿宋_GB2312"/>
                <w:sz w:val="24"/>
                <w:szCs w:val="24"/>
              </w:rPr>
            </w:pPr>
            <w:r>
              <w:rPr>
                <w:rFonts w:hint="eastAsia" w:ascii="仿宋_GB2312" w:eastAsia="仿宋_GB2312"/>
                <w:sz w:val="24"/>
                <w:szCs w:val="24"/>
              </w:rPr>
              <w:t>立足于区域文化和产业，社会发展需求制定人才培养方案；培养方案（计划）设计科学，具有显著的专业办学特色，很好地反映培养目标对知识、能力及素质的要求。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bCs/>
                <w:sz w:val="24"/>
                <w:szCs w:val="24"/>
              </w:rPr>
              <w:t>课程与教材建设</w:t>
            </w:r>
          </w:p>
        </w:tc>
        <w:tc>
          <w:tcPr>
            <w:tcW w:w="9824" w:type="dxa"/>
            <w:vAlign w:val="center"/>
          </w:tcPr>
          <w:p>
            <w:pPr>
              <w:rPr>
                <w:rFonts w:ascii="仿宋_GB2312" w:eastAsia="仿宋_GB2312"/>
                <w:sz w:val="24"/>
                <w:szCs w:val="24"/>
              </w:rPr>
            </w:pPr>
            <w:r>
              <w:rPr>
                <w:rFonts w:hint="eastAsia" w:ascii="仿宋_GB2312" w:eastAsia="仿宋_GB2312"/>
                <w:sz w:val="24"/>
                <w:szCs w:val="24"/>
              </w:rPr>
              <w:t>课程体系和教学内容改革符合创新创业人才培养的要求，课程改革与建设有计划、有措施、成效显著，</w:t>
            </w:r>
            <w:r>
              <w:rPr>
                <w:rFonts w:hint="eastAsia" w:ascii="仿宋_GB2312" w:eastAsia="仿宋_GB2312"/>
                <w:bCs/>
                <w:sz w:val="24"/>
                <w:szCs w:val="24"/>
              </w:rPr>
              <w:t>近五年建成省级以上精品开放课程≥1门；依托专业建设，形成一系列高水平的教材成果。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bCs/>
                <w:sz w:val="24"/>
                <w:szCs w:val="24"/>
              </w:rPr>
            </w:pPr>
            <w:r>
              <w:rPr>
                <w:rFonts w:hint="eastAsia" w:ascii="仿宋_GB2312" w:eastAsia="仿宋_GB2312"/>
                <w:bCs/>
                <w:sz w:val="24"/>
                <w:szCs w:val="24"/>
              </w:rPr>
              <w:t>专业教学质量</w:t>
            </w:r>
          </w:p>
        </w:tc>
        <w:tc>
          <w:tcPr>
            <w:tcW w:w="9824" w:type="dxa"/>
            <w:vAlign w:val="center"/>
          </w:tcPr>
          <w:p>
            <w:pPr>
              <w:rPr>
                <w:rFonts w:ascii="仿宋_GB2312" w:eastAsia="仿宋_GB2312"/>
                <w:sz w:val="24"/>
                <w:szCs w:val="24"/>
              </w:rPr>
            </w:pPr>
            <w:r>
              <w:rPr>
                <w:rFonts w:hint="eastAsia" w:ascii="仿宋_GB2312" w:eastAsia="仿宋_GB2312"/>
                <w:sz w:val="24"/>
                <w:szCs w:val="24"/>
              </w:rPr>
              <w:t>教学质量监控体系科学、完善，运行有效，成效显著；</w:t>
            </w:r>
            <w:r>
              <w:rPr>
                <w:rFonts w:hint="eastAsia" w:ascii="仿宋_GB2312" w:eastAsia="仿宋_GB2312"/>
                <w:bCs/>
                <w:sz w:val="24"/>
                <w:szCs w:val="24"/>
              </w:rPr>
              <w:t>专业指导委员会能实质性、制度性参与人才培养全过程；</w:t>
            </w:r>
            <w:r>
              <w:rPr>
                <w:rFonts w:hint="eastAsia" w:ascii="仿宋_GB2312" w:eastAsia="仿宋_GB2312"/>
                <w:sz w:val="24"/>
                <w:szCs w:val="24"/>
              </w:rPr>
              <w:t>对毕业论文或毕业设计的质量有得力的监控措施且执行情况良好；</w:t>
            </w:r>
            <w:r>
              <w:rPr>
                <w:rFonts w:hint="eastAsia" w:ascii="仿宋_GB2312" w:eastAsia="仿宋_GB2312"/>
                <w:bCs/>
                <w:sz w:val="24"/>
                <w:szCs w:val="24"/>
              </w:rPr>
              <w:t>社会需求调研制度化。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7"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bCs/>
                <w:sz w:val="24"/>
                <w:szCs w:val="24"/>
              </w:rPr>
            </w:pPr>
            <w:r>
              <w:rPr>
                <w:rFonts w:hint="eastAsia" w:ascii="仿宋_GB2312" w:eastAsia="仿宋_GB2312"/>
                <w:bCs/>
                <w:sz w:val="24"/>
                <w:szCs w:val="24"/>
              </w:rPr>
              <w:t>实验教学体系建设（文科部分专业本条可适当放宽）</w:t>
            </w:r>
          </w:p>
        </w:tc>
        <w:tc>
          <w:tcPr>
            <w:tcW w:w="9824" w:type="dxa"/>
            <w:vAlign w:val="center"/>
          </w:tcPr>
          <w:p>
            <w:pPr>
              <w:rPr>
                <w:rFonts w:ascii="仿宋_GB2312" w:eastAsia="仿宋_GB2312"/>
                <w:sz w:val="24"/>
                <w:szCs w:val="24"/>
              </w:rPr>
            </w:pPr>
            <w:r>
              <w:rPr>
                <w:rFonts w:hint="eastAsia" w:ascii="仿宋_GB2312" w:eastAsia="仿宋_GB2312"/>
                <w:sz w:val="24"/>
                <w:szCs w:val="24"/>
              </w:rPr>
              <w:t>实践教学体系设计科学合理，及时动态更新。不断改革创新实践教学内容，开展多种形式的实践教学活动，创造条件促进学生较早参加科研和创新活动，实施效果良好；有稳定的校内外实习基地,能满足因材施教的实践教学要求；实习时间有保证,措施完善,效果好；实践教学队伍结构合理，满足教学需要；专业实验室场地充足、设备完善，运行投入常态化，开放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2367" w:type="dxa"/>
            <w:vMerge w:val="restart"/>
            <w:vAlign w:val="center"/>
          </w:tcPr>
          <w:p>
            <w:pPr>
              <w:rPr>
                <w:rFonts w:ascii="仿宋_GB2312" w:eastAsia="仿宋_GB2312"/>
                <w:bCs/>
                <w:sz w:val="24"/>
                <w:szCs w:val="24"/>
              </w:rPr>
            </w:pPr>
            <w:r>
              <w:rPr>
                <w:rFonts w:hint="eastAsia" w:ascii="仿宋_GB2312" w:eastAsia="仿宋_GB2312"/>
                <w:bCs/>
                <w:sz w:val="24"/>
                <w:szCs w:val="24"/>
              </w:rPr>
              <w:t>5.人才培养质量和社会声誉（15分）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人才培养质量</w:t>
            </w:r>
          </w:p>
        </w:tc>
        <w:tc>
          <w:tcPr>
            <w:tcW w:w="9824" w:type="dxa"/>
            <w:vAlign w:val="center"/>
          </w:tcPr>
          <w:p>
            <w:pPr>
              <w:rPr>
                <w:rFonts w:ascii="仿宋_GB2312" w:eastAsia="仿宋_GB2312"/>
                <w:sz w:val="24"/>
                <w:szCs w:val="24"/>
              </w:rPr>
            </w:pPr>
            <w:r>
              <w:rPr>
                <w:rFonts w:hint="eastAsia" w:ascii="仿宋_GB2312" w:eastAsia="仿宋_GB2312"/>
                <w:sz w:val="24"/>
                <w:szCs w:val="24"/>
              </w:rPr>
              <w:t>学生思想道德素养和文化素质水平较高；</w:t>
            </w:r>
            <w:r>
              <w:rPr>
                <w:rFonts w:hint="eastAsia" w:ascii="仿宋_GB2312" w:eastAsia="仿宋_GB2312"/>
                <w:bCs/>
                <w:sz w:val="24"/>
                <w:szCs w:val="24"/>
              </w:rPr>
              <w:t>学生创新精神和实践能力强。佐证材料中含有高水平的学生创新或获奖成果。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367" w:type="dxa"/>
            <w:vMerge w:val="continue"/>
            <w:vAlign w:val="center"/>
          </w:tcPr>
          <w:p>
            <w:pPr>
              <w:rPr>
                <w:rFonts w:ascii="仿宋_GB2312" w:eastAsia="仿宋_GB2312"/>
                <w:bCs/>
                <w:sz w:val="24"/>
                <w:szCs w:val="24"/>
              </w:rPr>
            </w:pPr>
          </w:p>
        </w:tc>
        <w:tc>
          <w:tcPr>
            <w:tcW w:w="2419"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社会声誉</w:t>
            </w:r>
          </w:p>
        </w:tc>
        <w:tc>
          <w:tcPr>
            <w:tcW w:w="9824" w:type="dxa"/>
            <w:vAlign w:val="center"/>
          </w:tcPr>
          <w:p>
            <w:pPr>
              <w:rPr>
                <w:rFonts w:ascii="仿宋_GB2312" w:eastAsia="仿宋_GB2312"/>
                <w:bCs/>
                <w:sz w:val="24"/>
                <w:szCs w:val="24"/>
              </w:rPr>
            </w:pPr>
            <w:r>
              <w:rPr>
                <w:rFonts w:hint="eastAsia" w:ascii="仿宋_GB2312" w:eastAsia="仿宋_GB2312"/>
                <w:sz w:val="24"/>
                <w:szCs w:val="24"/>
              </w:rPr>
              <w:t>毕业生的综合评价好。毕业生在社会上的声誉好，对经济社会发展贡献大。在同类学校或同类专业中反响好，</w:t>
            </w:r>
            <w:r>
              <w:rPr>
                <w:rFonts w:hint="eastAsia" w:ascii="仿宋_GB2312" w:eastAsia="仿宋_GB2312"/>
                <w:bCs/>
                <w:sz w:val="24"/>
                <w:szCs w:val="24"/>
              </w:rPr>
              <w:t>专业建设成果示范辐射作用成效显著，在国内有较大影响。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特色项目</w:t>
            </w:r>
          </w:p>
        </w:tc>
        <w:tc>
          <w:tcPr>
            <w:tcW w:w="9824" w:type="dxa"/>
            <w:vAlign w:val="center"/>
          </w:tcPr>
          <w:p>
            <w:pPr>
              <w:rPr>
                <w:rFonts w:ascii="仿宋_GB2312" w:eastAsia="仿宋_GB2312"/>
                <w:sz w:val="24"/>
                <w:szCs w:val="24"/>
              </w:rPr>
            </w:pPr>
            <w:r>
              <w:rPr>
                <w:rFonts w:hint="eastAsia" w:ascii="仿宋_GB2312" w:eastAsia="仿宋_GB2312"/>
                <w:sz w:val="24"/>
                <w:szCs w:val="24"/>
              </w:rPr>
              <w:t>在专业建设中形成优于其他同类专业的独特优质风貌，特色对优化人才培养过程,提高教学质量作用大，效果显著。</w:t>
            </w:r>
          </w:p>
        </w:tc>
      </w:tr>
    </w:tbl>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pStyle w:val="2"/>
        <w:bidi w:val="0"/>
      </w:pPr>
      <w:bookmarkStart w:id="7" w:name="_Toc9959"/>
      <w:r>
        <w:rPr>
          <w:rFonts w:hint="eastAsia"/>
        </w:rPr>
        <w:t>广东省教学团队验收标准（试行）</w:t>
      </w:r>
      <w:bookmarkEnd w:id="7"/>
    </w:p>
    <w:tbl>
      <w:tblPr>
        <w:tblStyle w:val="9"/>
        <w:tblW w:w="14664" w:type="dxa"/>
        <w:jc w:val="center"/>
        <w:tblLayout w:type="autofit"/>
        <w:tblCellMar>
          <w:top w:w="0" w:type="dxa"/>
          <w:left w:w="0" w:type="dxa"/>
          <w:bottom w:w="0" w:type="dxa"/>
          <w:right w:w="0" w:type="dxa"/>
        </w:tblCellMar>
      </w:tblPr>
      <w:tblGrid>
        <w:gridCol w:w="2422"/>
        <w:gridCol w:w="2129"/>
        <w:gridCol w:w="10113"/>
      </w:tblGrid>
      <w:tr>
        <w:tblPrEx>
          <w:tblCellMar>
            <w:top w:w="0" w:type="dxa"/>
            <w:left w:w="0" w:type="dxa"/>
            <w:bottom w:w="0" w:type="dxa"/>
            <w:right w:w="0" w:type="dxa"/>
          </w:tblCellMar>
        </w:tblPrEx>
        <w:trPr>
          <w:cantSplit/>
          <w:trHeight w:val="426" w:hRule="atLeast"/>
          <w:jc w:val="center"/>
        </w:trPr>
        <w:tc>
          <w:tcPr>
            <w:tcW w:w="2422" w:type="dxa"/>
            <w:tcBorders>
              <w:top w:val="single" w:color="auto" w:sz="12" w:space="0"/>
              <w:left w:val="single" w:color="auto" w:sz="12" w:space="0"/>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b/>
                <w:bCs/>
                <w:sz w:val="24"/>
                <w:szCs w:val="24"/>
              </w:rPr>
              <w:t>一级指标</w:t>
            </w:r>
          </w:p>
        </w:tc>
        <w:tc>
          <w:tcPr>
            <w:tcW w:w="2129" w:type="dxa"/>
            <w:tcBorders>
              <w:top w:val="single" w:color="auto" w:sz="12" w:space="0"/>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b/>
                <w:bCs/>
                <w:sz w:val="24"/>
                <w:szCs w:val="24"/>
              </w:rPr>
              <w:t>二级指标</w:t>
            </w:r>
          </w:p>
        </w:tc>
        <w:tc>
          <w:tcPr>
            <w:tcW w:w="10113" w:type="dxa"/>
            <w:tcBorders>
              <w:top w:val="single" w:color="auto" w:sz="12" w:space="0"/>
              <w:left w:val="nil"/>
              <w:bottom w:val="single" w:color="auto" w:sz="8" w:space="0"/>
              <w:right w:val="single" w:color="auto" w:sz="12"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b/>
                <w:bCs/>
                <w:sz w:val="24"/>
                <w:szCs w:val="24"/>
              </w:rPr>
              <w:t>评　审　标　准</w:t>
            </w:r>
          </w:p>
        </w:tc>
      </w:tr>
      <w:tr>
        <w:tblPrEx>
          <w:tblCellMar>
            <w:top w:w="0" w:type="dxa"/>
            <w:left w:w="0" w:type="dxa"/>
            <w:bottom w:w="0" w:type="dxa"/>
            <w:right w:w="0" w:type="dxa"/>
          </w:tblCellMar>
        </w:tblPrEx>
        <w:trPr>
          <w:cantSplit/>
          <w:trHeight w:val="1432" w:hRule="atLeast"/>
          <w:jc w:val="center"/>
        </w:trPr>
        <w:tc>
          <w:tcPr>
            <w:tcW w:w="2422" w:type="dxa"/>
            <w:vMerge w:val="restart"/>
            <w:tcBorders>
              <w:top w:val="nil"/>
              <w:left w:val="single" w:color="auto" w:sz="12" w:space="0"/>
              <w:bottom w:val="single" w:color="auto" w:sz="8" w:space="0"/>
              <w:right w:val="single" w:color="auto" w:sz="8" w:space="0"/>
            </w:tcBorders>
            <w:tcMar>
              <w:top w:w="0" w:type="dxa"/>
              <w:left w:w="11" w:type="dxa"/>
              <w:bottom w:w="0" w:type="dxa"/>
              <w:right w:w="11" w:type="dxa"/>
            </w:tcMar>
            <w:vAlign w:val="center"/>
          </w:tcPr>
          <w:p>
            <w:pPr>
              <w:numPr>
                <w:ilvl w:val="0"/>
                <w:numId w:val="1"/>
              </w:numPr>
              <w:rPr>
                <w:rFonts w:ascii="仿宋_GB2312" w:eastAsia="仿宋_GB2312"/>
                <w:sz w:val="24"/>
                <w:szCs w:val="24"/>
              </w:rPr>
            </w:pPr>
            <w:r>
              <w:rPr>
                <w:rFonts w:hint="eastAsia" w:ascii="仿宋_GB2312" w:eastAsia="仿宋_GB2312"/>
                <w:bCs/>
                <w:sz w:val="24"/>
                <w:szCs w:val="24"/>
              </w:rPr>
              <w:t>团队建设（25分</w:t>
            </w:r>
            <w:r>
              <w:rPr>
                <w:rFonts w:hint="eastAsia" w:ascii="仿宋_GB2312" w:eastAsia="仿宋_GB2312"/>
                <w:sz w:val="24"/>
                <w:szCs w:val="24"/>
              </w:rPr>
              <w:t>）</w:t>
            </w: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团队建设基础</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建设单位与教研室、研究所、实验室、教学基地、实训基地和工程中心等组织机构建设紧密结合，设置合理；以系列课程或专业搭建的团队建设平台，符合学校课程建设和学科（专业）建设的实际；团队具有多年教学改革与实践的基础，团队成员的教学水平和科研水平高；团队教风建设成效明显，师德高尚，教书育人氛围好，整体教学效果优良。</w:t>
            </w:r>
          </w:p>
        </w:tc>
      </w:tr>
      <w:tr>
        <w:tblPrEx>
          <w:tblCellMar>
            <w:top w:w="0" w:type="dxa"/>
            <w:left w:w="0" w:type="dxa"/>
            <w:bottom w:w="0" w:type="dxa"/>
            <w:right w:w="0" w:type="dxa"/>
          </w:tblCellMar>
        </w:tblPrEx>
        <w:trPr>
          <w:cantSplit/>
          <w:trHeight w:val="1223" w:hRule="atLeast"/>
          <w:jc w:val="center"/>
        </w:trPr>
        <w:tc>
          <w:tcPr>
            <w:tcW w:w="2422" w:type="dxa"/>
            <w:vMerge w:val="continue"/>
            <w:tcBorders>
              <w:top w:val="nil"/>
              <w:left w:val="single" w:color="auto" w:sz="12" w:space="0"/>
              <w:bottom w:val="single" w:color="auto" w:sz="8" w:space="0"/>
              <w:right w:val="single" w:color="auto" w:sz="8" w:space="0"/>
            </w:tcBorders>
            <w:vAlign w:val="center"/>
          </w:tcPr>
          <w:p>
            <w:pPr>
              <w:rPr>
                <w:rFonts w:ascii="仿宋_GB2312" w:eastAsia="仿宋_GB2312"/>
                <w:sz w:val="24"/>
                <w:szCs w:val="24"/>
              </w:rPr>
            </w:pP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团队结构</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团队具有良好的梯队结构，老、中、青结合，可持续发展趋势好；团队学缘结构、职称结构、知识结构合理，规模适度；团队成员整体素质高，具有博士及以上学位教师的比例高，具有良好的合作精神。</w:t>
            </w:r>
          </w:p>
        </w:tc>
      </w:tr>
      <w:tr>
        <w:tblPrEx>
          <w:tblCellMar>
            <w:top w:w="0" w:type="dxa"/>
            <w:left w:w="0" w:type="dxa"/>
            <w:bottom w:w="0" w:type="dxa"/>
            <w:right w:w="0" w:type="dxa"/>
          </w:tblCellMar>
        </w:tblPrEx>
        <w:trPr>
          <w:cantSplit/>
          <w:trHeight w:val="1195" w:hRule="atLeast"/>
          <w:jc w:val="center"/>
        </w:trPr>
        <w:tc>
          <w:tcPr>
            <w:tcW w:w="2422" w:type="dxa"/>
            <w:vMerge w:val="restart"/>
            <w:tcBorders>
              <w:top w:val="nil"/>
              <w:left w:val="single" w:color="auto" w:sz="12" w:space="0"/>
              <w:bottom w:val="single" w:color="auto" w:sz="8" w:space="0"/>
              <w:right w:val="single" w:color="auto" w:sz="8"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 </w:t>
            </w:r>
          </w:p>
          <w:p>
            <w:pPr>
              <w:rPr>
                <w:rFonts w:ascii="仿宋_GB2312" w:eastAsia="仿宋_GB2312"/>
                <w:sz w:val="24"/>
                <w:szCs w:val="24"/>
              </w:rPr>
            </w:pPr>
            <w:r>
              <w:rPr>
                <w:rFonts w:hint="eastAsia" w:ascii="仿宋_GB2312" w:eastAsia="仿宋_GB2312"/>
                <w:bCs/>
                <w:sz w:val="24"/>
                <w:szCs w:val="24"/>
              </w:rPr>
              <w:t>⒉团队带头人（15分）</w:t>
            </w:r>
          </w:p>
          <w:p>
            <w:pPr>
              <w:rPr>
                <w:rFonts w:ascii="仿宋_GB2312" w:eastAsia="仿宋_GB2312"/>
                <w:sz w:val="24"/>
                <w:szCs w:val="24"/>
              </w:rPr>
            </w:pPr>
            <w:r>
              <w:rPr>
                <w:rFonts w:hint="eastAsia" w:ascii="仿宋_GB2312" w:eastAsia="仿宋_GB2312"/>
                <w:sz w:val="24"/>
                <w:szCs w:val="24"/>
              </w:rPr>
              <w:t> </w:t>
            </w: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学术地位</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带头人应为本学科(专业)领域的专家，教授职称，具有较强的指导研究生和青年教师的能力；近五年主持省部级以上科研项目多，具有较高的学术水平，形成独有建树的学术思想，为本学科发展做出较突出的贡献。</w:t>
            </w:r>
          </w:p>
        </w:tc>
      </w:tr>
      <w:tr>
        <w:tblPrEx>
          <w:tblCellMar>
            <w:top w:w="0" w:type="dxa"/>
            <w:left w:w="0" w:type="dxa"/>
            <w:bottom w:w="0" w:type="dxa"/>
            <w:right w:w="0" w:type="dxa"/>
          </w:tblCellMar>
        </w:tblPrEx>
        <w:trPr>
          <w:cantSplit/>
          <w:trHeight w:val="1197" w:hRule="atLeast"/>
          <w:jc w:val="center"/>
        </w:trPr>
        <w:tc>
          <w:tcPr>
            <w:tcW w:w="2422" w:type="dxa"/>
            <w:vMerge w:val="continue"/>
            <w:tcBorders>
              <w:top w:val="nil"/>
              <w:left w:val="single" w:color="auto" w:sz="12" w:space="0"/>
              <w:bottom w:val="single" w:color="auto" w:sz="8" w:space="0"/>
              <w:right w:val="single" w:color="auto" w:sz="8" w:space="0"/>
            </w:tcBorders>
            <w:vAlign w:val="center"/>
          </w:tcPr>
          <w:p>
            <w:pPr>
              <w:rPr>
                <w:rFonts w:ascii="仿宋_GB2312" w:eastAsia="仿宋_GB2312"/>
                <w:sz w:val="24"/>
                <w:szCs w:val="24"/>
              </w:rPr>
            </w:pP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学术成果</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近五年主持过省部级以上教改项目、精品开放课程或主编过省级以上精品教材或国际规划教材，取得的成果在同领域学科专业内影响力较大；教学工作成绩突出，获得的其它省部级以上教学奖励；作为主要完成人获得过省部级以上教学成果奖或获得省级以上教学名师称号。</w:t>
            </w:r>
          </w:p>
        </w:tc>
      </w:tr>
      <w:tr>
        <w:tblPrEx>
          <w:tblCellMar>
            <w:top w:w="0" w:type="dxa"/>
            <w:left w:w="0" w:type="dxa"/>
            <w:bottom w:w="0" w:type="dxa"/>
            <w:right w:w="0" w:type="dxa"/>
          </w:tblCellMar>
        </w:tblPrEx>
        <w:trPr>
          <w:cantSplit/>
          <w:trHeight w:val="1199" w:hRule="atLeast"/>
          <w:jc w:val="center"/>
        </w:trPr>
        <w:tc>
          <w:tcPr>
            <w:tcW w:w="2422" w:type="dxa"/>
            <w:vMerge w:val="continue"/>
            <w:tcBorders>
              <w:top w:val="nil"/>
              <w:left w:val="single" w:color="auto" w:sz="12" w:space="0"/>
              <w:bottom w:val="single" w:color="auto" w:sz="4" w:space="0"/>
              <w:right w:val="single" w:color="auto" w:sz="8" w:space="0"/>
            </w:tcBorders>
            <w:vAlign w:val="center"/>
          </w:tcPr>
          <w:p>
            <w:pPr>
              <w:rPr>
                <w:rFonts w:ascii="仿宋_GB2312" w:eastAsia="仿宋_GB2312"/>
                <w:sz w:val="24"/>
                <w:szCs w:val="24"/>
              </w:rPr>
            </w:pP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课程建设与授课</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带头人长期致力于团队课程建设并做出重要贡献，熟悉本学科专业及课程体系的教育教学改革趋势，或主持过省级以上有关教学内容与课程体系改革的项目；承担团队核心课程主讲任务，坚持每学年在本校为本科生讲授专业课一门以上，教学效果优秀。</w:t>
            </w:r>
          </w:p>
        </w:tc>
      </w:tr>
      <w:tr>
        <w:tblPrEx>
          <w:tblCellMar>
            <w:top w:w="0" w:type="dxa"/>
            <w:left w:w="0" w:type="dxa"/>
            <w:bottom w:w="0" w:type="dxa"/>
            <w:right w:w="0" w:type="dxa"/>
          </w:tblCellMar>
        </w:tblPrEx>
        <w:trPr>
          <w:cantSplit/>
          <w:trHeight w:val="1116" w:hRule="atLeast"/>
          <w:jc w:val="center"/>
        </w:trPr>
        <w:tc>
          <w:tcPr>
            <w:tcW w:w="2422" w:type="dxa"/>
            <w:vMerge w:val="restart"/>
            <w:tcBorders>
              <w:top w:val="single" w:color="auto" w:sz="4" w:space="0"/>
              <w:left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bCs/>
                <w:sz w:val="24"/>
                <w:szCs w:val="24"/>
              </w:rPr>
              <w:t>3．团队教学工作（30分）</w:t>
            </w:r>
          </w:p>
        </w:tc>
        <w:tc>
          <w:tcPr>
            <w:tcW w:w="2129" w:type="dxa"/>
            <w:tcBorders>
              <w:top w:val="single" w:color="auto" w:sz="4" w:space="0"/>
              <w:left w:val="single" w:color="auto" w:sz="4" w:space="0"/>
              <w:right w:val="single" w:color="auto" w:sz="4"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教学资源建设</w:t>
            </w:r>
          </w:p>
        </w:tc>
        <w:tc>
          <w:tcPr>
            <w:tcW w:w="10113"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课程体系科学、完整；专业课程的教学内容能够反映行业现状、追踪学科（专业）前沿。出台教材编写规划和鼓励教材研究的政策、措施；近五年承担过国家级规划教材主编任务，教材出版层次高。自编教材特色鲜明，使用效果好。</w:t>
            </w:r>
          </w:p>
        </w:tc>
      </w:tr>
      <w:tr>
        <w:tblPrEx>
          <w:tblCellMar>
            <w:top w:w="0" w:type="dxa"/>
            <w:left w:w="0" w:type="dxa"/>
            <w:bottom w:w="0" w:type="dxa"/>
            <w:right w:w="0" w:type="dxa"/>
          </w:tblCellMar>
        </w:tblPrEx>
        <w:trPr>
          <w:cantSplit/>
          <w:trHeight w:val="1424" w:hRule="atLeast"/>
          <w:jc w:val="center"/>
        </w:trPr>
        <w:tc>
          <w:tcPr>
            <w:tcW w:w="2422" w:type="dxa"/>
            <w:vMerge w:val="continue"/>
            <w:tcBorders>
              <w:left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p>
        </w:tc>
        <w:tc>
          <w:tcPr>
            <w:tcW w:w="2129"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教学成果</w:t>
            </w:r>
          </w:p>
        </w:tc>
        <w:tc>
          <w:tcPr>
            <w:tcW w:w="10113"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教师主持过省级特色专业、重点专业、省级精品课程、省级实验教学示范中心等质量工程项目建设；团队教学改革成果显著，获得过国家级、省部级教学成果奖励二等奖以上奖励；获省级立项以来团队承担的省部级以上教学改革项目多、经费多、项目来源级别高；团队公开发表的教学改革论文（著）数量多、质量高，教学改革论文反映出最新的教学研究成果，创新性强。</w:t>
            </w:r>
          </w:p>
        </w:tc>
      </w:tr>
      <w:tr>
        <w:tblPrEx>
          <w:tblCellMar>
            <w:top w:w="0" w:type="dxa"/>
            <w:left w:w="0" w:type="dxa"/>
            <w:bottom w:w="0" w:type="dxa"/>
            <w:right w:w="0" w:type="dxa"/>
          </w:tblCellMar>
        </w:tblPrEx>
        <w:trPr>
          <w:cantSplit/>
          <w:trHeight w:val="1055" w:hRule="atLeast"/>
          <w:jc w:val="center"/>
        </w:trPr>
        <w:tc>
          <w:tcPr>
            <w:tcW w:w="2422" w:type="dxa"/>
            <w:vMerge w:val="continue"/>
            <w:tcBorders>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2129" w:type="dxa"/>
            <w:tcBorders>
              <w:top w:val="single" w:color="auto" w:sz="4" w:space="0"/>
              <w:left w:val="single" w:color="auto" w:sz="4" w:space="0"/>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教学改革</w:t>
            </w:r>
          </w:p>
        </w:tc>
        <w:tc>
          <w:tcPr>
            <w:tcW w:w="10113" w:type="dxa"/>
            <w:tcBorders>
              <w:top w:val="single" w:color="auto" w:sz="4" w:space="0"/>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教师积极参加教学改革实践，致力于人才培养模式改革和教学质量提升，团队支持和鼓励教学改革与创新的政策、措施具体有力；教学改革特色鲜明，特色点符合团队建设目标，如团队设置特色、专业特色、课程特色等且具有推广应用价值。</w:t>
            </w:r>
          </w:p>
        </w:tc>
      </w:tr>
      <w:tr>
        <w:tblPrEx>
          <w:tblCellMar>
            <w:top w:w="0" w:type="dxa"/>
            <w:left w:w="0" w:type="dxa"/>
            <w:bottom w:w="0" w:type="dxa"/>
            <w:right w:w="0" w:type="dxa"/>
          </w:tblCellMar>
        </w:tblPrEx>
        <w:trPr>
          <w:cantSplit/>
          <w:trHeight w:val="1499" w:hRule="atLeast"/>
          <w:jc w:val="center"/>
        </w:trPr>
        <w:tc>
          <w:tcPr>
            <w:tcW w:w="2422" w:type="dxa"/>
            <w:vMerge w:val="restart"/>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bCs/>
                <w:sz w:val="24"/>
                <w:szCs w:val="24"/>
              </w:rPr>
              <w:t>4．团队梯队培养与发展规划（20分）</w:t>
            </w:r>
          </w:p>
        </w:tc>
        <w:tc>
          <w:tcPr>
            <w:tcW w:w="2129" w:type="dxa"/>
            <w:tcBorders>
              <w:top w:val="nil"/>
              <w:left w:val="single" w:color="auto" w:sz="4" w:space="0"/>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培养中青年教师</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有指导和激励中青年教师提高专业素质和业务水平（包括国内外进修学习、参加各种学术会议、提高社会实践能力）等方面的计划，且科学、措施得力；形成了传帮带的稳定机制，团队建设具有可持续性，青年教师培养成效显著；具备吸引外来教师进修学习的学科（专业）或课程优势，有接受教师进修学习的管理规定、办法，效果好。</w:t>
            </w:r>
          </w:p>
        </w:tc>
      </w:tr>
      <w:tr>
        <w:tblPrEx>
          <w:tblCellMar>
            <w:top w:w="0" w:type="dxa"/>
            <w:left w:w="0" w:type="dxa"/>
            <w:bottom w:w="0" w:type="dxa"/>
            <w:right w:w="0" w:type="dxa"/>
          </w:tblCellMar>
        </w:tblPrEx>
        <w:trPr>
          <w:cantSplit/>
          <w:trHeight w:val="903" w:hRule="atLeast"/>
          <w:jc w:val="center"/>
        </w:trPr>
        <w:tc>
          <w:tcPr>
            <w:tcW w:w="2422"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2129" w:type="dxa"/>
            <w:tcBorders>
              <w:top w:val="nil"/>
              <w:left w:val="single" w:color="auto" w:sz="4" w:space="0"/>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带动作用</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团队建设目标明确、具体，符合学校发展定位，为学校培养新的省级团队做出探索和贡献，对其他团队建设，具有辐射带动作用。</w:t>
            </w:r>
          </w:p>
        </w:tc>
      </w:tr>
      <w:tr>
        <w:tblPrEx>
          <w:tblCellMar>
            <w:top w:w="0" w:type="dxa"/>
            <w:left w:w="0" w:type="dxa"/>
            <w:bottom w:w="0" w:type="dxa"/>
            <w:right w:w="0" w:type="dxa"/>
          </w:tblCellMar>
        </w:tblPrEx>
        <w:trPr>
          <w:cantSplit/>
          <w:trHeight w:val="739" w:hRule="atLeast"/>
          <w:jc w:val="center"/>
        </w:trPr>
        <w:tc>
          <w:tcPr>
            <w:tcW w:w="2422" w:type="dxa"/>
            <w:vMerge w:val="restart"/>
            <w:tcBorders>
              <w:top w:val="single" w:color="auto" w:sz="4" w:space="0"/>
              <w:left w:val="single" w:color="auto" w:sz="12" w:space="0"/>
              <w:bottom w:val="single" w:color="auto" w:sz="8" w:space="0"/>
              <w:right w:val="single" w:color="auto" w:sz="8"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bCs/>
                <w:sz w:val="24"/>
                <w:szCs w:val="24"/>
              </w:rPr>
              <w:t>5．团队科研与教研（10分）</w:t>
            </w: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科研情况</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团队承担的科研项目多、经费多、项目来源级别高；科技成果转化取得显著的社会效益和经济效益；在国内外学术刊物上发表的科研论文数量多，水平高。</w:t>
            </w:r>
          </w:p>
        </w:tc>
      </w:tr>
      <w:tr>
        <w:tblPrEx>
          <w:tblCellMar>
            <w:top w:w="0" w:type="dxa"/>
            <w:left w:w="0" w:type="dxa"/>
            <w:bottom w:w="0" w:type="dxa"/>
            <w:right w:w="0" w:type="dxa"/>
          </w:tblCellMar>
        </w:tblPrEx>
        <w:trPr>
          <w:cantSplit/>
          <w:trHeight w:val="1050" w:hRule="atLeast"/>
          <w:jc w:val="center"/>
        </w:trPr>
        <w:tc>
          <w:tcPr>
            <w:tcW w:w="2422" w:type="dxa"/>
            <w:vMerge w:val="continue"/>
            <w:tcBorders>
              <w:top w:val="nil"/>
              <w:left w:val="single" w:color="auto" w:sz="12" w:space="0"/>
              <w:bottom w:val="single" w:color="auto" w:sz="8" w:space="0"/>
              <w:right w:val="single" w:color="auto" w:sz="8" w:space="0"/>
            </w:tcBorders>
            <w:vAlign w:val="center"/>
          </w:tcPr>
          <w:p>
            <w:pPr>
              <w:rPr>
                <w:rFonts w:ascii="仿宋_GB2312" w:eastAsia="仿宋_GB2312"/>
                <w:sz w:val="24"/>
                <w:szCs w:val="24"/>
              </w:rPr>
            </w:pP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科研与教学的结合</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形成了科研促进教学的有效机制，包括组织机构与人员等，为科研转化教学提供了制度保障；科研成果在教学活动中得到应用，科研促进教学作用明显，人才培养效果好。</w:t>
            </w:r>
          </w:p>
        </w:tc>
      </w:tr>
    </w:tbl>
    <w:p>
      <w:pPr>
        <w:rPr>
          <w:rFonts w:ascii="仿宋_GB2312" w:eastAsia="仿宋_GB2312"/>
          <w:sz w:val="24"/>
          <w:szCs w:val="24"/>
        </w:rPr>
      </w:pPr>
    </w:p>
    <w:p>
      <w:pPr>
        <w:jc w:val="center"/>
        <w:rPr>
          <w:rFonts w:ascii="仿宋_GB2312" w:eastAsia="仿宋_GB2312"/>
          <w:b/>
          <w:sz w:val="30"/>
          <w:szCs w:val="30"/>
        </w:rPr>
      </w:pPr>
    </w:p>
    <w:p>
      <w:pPr>
        <w:jc w:val="center"/>
        <w:rPr>
          <w:rFonts w:ascii="仿宋_GB2312" w:eastAsia="仿宋_GB2312"/>
          <w:b/>
          <w:sz w:val="30"/>
          <w:szCs w:val="30"/>
        </w:rPr>
      </w:pPr>
    </w:p>
    <w:p>
      <w:pPr>
        <w:jc w:val="center"/>
        <w:rPr>
          <w:rFonts w:ascii="仿宋_GB2312" w:eastAsia="仿宋_GB2312"/>
          <w:b/>
          <w:sz w:val="30"/>
          <w:szCs w:val="30"/>
        </w:rPr>
      </w:pPr>
    </w:p>
    <w:p>
      <w:pPr>
        <w:jc w:val="center"/>
        <w:rPr>
          <w:rFonts w:ascii="仿宋_GB2312" w:eastAsia="仿宋_GB2312"/>
          <w:b/>
          <w:sz w:val="30"/>
          <w:szCs w:val="30"/>
        </w:rPr>
      </w:pPr>
    </w:p>
    <w:p>
      <w:pPr>
        <w:pStyle w:val="2"/>
        <w:bidi w:val="0"/>
      </w:pPr>
      <w:bookmarkStart w:id="8" w:name="_Toc23097"/>
      <w:r>
        <w:rPr>
          <w:rFonts w:hint="eastAsia"/>
        </w:rPr>
        <w:t>广东省大学生校外实践教学基地验收评审指标体系（试行）</w:t>
      </w:r>
      <w:bookmarkEnd w:id="8"/>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2708"/>
        <w:gridCol w:w="10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3" w:type="pct"/>
            <w:vMerge w:val="restart"/>
            <w:vAlign w:val="center"/>
          </w:tcPr>
          <w:p>
            <w:pPr>
              <w:spacing w:line="360" w:lineRule="exact"/>
              <w:jc w:val="center"/>
              <w:rPr>
                <w:rFonts w:ascii="仿宋_GB2312" w:eastAsia="仿宋_GB2312"/>
                <w:b/>
                <w:sz w:val="24"/>
                <w:szCs w:val="24"/>
              </w:rPr>
            </w:pPr>
            <w:r>
              <w:rPr>
                <w:rFonts w:hint="eastAsia" w:ascii="仿宋_GB2312" w:eastAsia="仿宋_GB2312"/>
                <w:b/>
                <w:sz w:val="24"/>
                <w:szCs w:val="24"/>
              </w:rPr>
              <w:t>一级指标</w:t>
            </w:r>
          </w:p>
        </w:tc>
        <w:tc>
          <w:tcPr>
            <w:tcW w:w="895" w:type="pct"/>
            <w:vMerge w:val="restart"/>
            <w:vAlign w:val="center"/>
          </w:tcPr>
          <w:p>
            <w:pPr>
              <w:spacing w:line="360" w:lineRule="exact"/>
              <w:jc w:val="center"/>
              <w:rPr>
                <w:rFonts w:ascii="仿宋_GB2312" w:eastAsia="仿宋_GB2312"/>
                <w:b/>
                <w:sz w:val="24"/>
                <w:szCs w:val="24"/>
              </w:rPr>
            </w:pPr>
            <w:r>
              <w:rPr>
                <w:rFonts w:hint="eastAsia" w:ascii="仿宋_GB2312" w:eastAsia="仿宋_GB2312"/>
                <w:b/>
                <w:sz w:val="24"/>
                <w:szCs w:val="24"/>
              </w:rPr>
              <w:t>二级指标</w:t>
            </w:r>
          </w:p>
        </w:tc>
        <w:tc>
          <w:tcPr>
            <w:tcW w:w="3312" w:type="pct"/>
            <w:vMerge w:val="restart"/>
            <w:vAlign w:val="center"/>
          </w:tcPr>
          <w:p>
            <w:pPr>
              <w:spacing w:line="360" w:lineRule="exact"/>
              <w:jc w:val="center"/>
              <w:rPr>
                <w:rFonts w:ascii="仿宋_GB2312" w:eastAsia="仿宋_GB2312"/>
                <w:b/>
                <w:sz w:val="24"/>
                <w:szCs w:val="24"/>
              </w:rPr>
            </w:pPr>
            <w:r>
              <w:rPr>
                <w:rFonts w:hint="eastAsia" w:ascii="仿宋_GB2312" w:eastAsia="仿宋_GB2312"/>
                <w:b/>
                <w:sz w:val="24"/>
                <w:szCs w:val="24"/>
              </w:rPr>
              <w:t>指标内涵及相关主要观测点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Merge w:val="continue"/>
            <w:vAlign w:val="center"/>
          </w:tcPr>
          <w:p>
            <w:pPr>
              <w:widowControl/>
              <w:spacing w:line="360" w:lineRule="exact"/>
              <w:jc w:val="center"/>
              <w:rPr>
                <w:rFonts w:ascii="仿宋_GB2312" w:eastAsia="仿宋_GB2312"/>
                <w:b/>
                <w:sz w:val="24"/>
                <w:szCs w:val="24"/>
              </w:rPr>
            </w:pPr>
          </w:p>
        </w:tc>
        <w:tc>
          <w:tcPr>
            <w:tcW w:w="0" w:type="auto"/>
            <w:vMerge w:val="continue"/>
            <w:vAlign w:val="center"/>
          </w:tcPr>
          <w:p>
            <w:pPr>
              <w:widowControl/>
              <w:spacing w:line="360" w:lineRule="exact"/>
              <w:jc w:val="left"/>
              <w:rPr>
                <w:rFonts w:ascii="仿宋_GB2312" w:eastAsia="仿宋_GB2312"/>
                <w:b/>
                <w:sz w:val="24"/>
                <w:szCs w:val="24"/>
              </w:rPr>
            </w:pPr>
          </w:p>
        </w:tc>
        <w:tc>
          <w:tcPr>
            <w:tcW w:w="0" w:type="auto"/>
            <w:vMerge w:val="continue"/>
            <w:vAlign w:val="center"/>
          </w:tcPr>
          <w:p>
            <w:pPr>
              <w:widowControl/>
              <w:spacing w:line="360" w:lineRule="exact"/>
              <w:jc w:val="left"/>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vMerge w:val="continue"/>
            <w:tcBorders>
              <w:bottom w:val="single" w:color="auto" w:sz="4" w:space="0"/>
            </w:tcBorders>
            <w:vAlign w:val="center"/>
          </w:tcPr>
          <w:p>
            <w:pPr>
              <w:widowControl/>
              <w:spacing w:line="360" w:lineRule="exact"/>
              <w:jc w:val="center"/>
              <w:rPr>
                <w:rFonts w:ascii="仿宋_GB2312" w:eastAsia="仿宋_GB2312"/>
                <w:b/>
                <w:sz w:val="24"/>
                <w:szCs w:val="24"/>
              </w:rPr>
            </w:pPr>
          </w:p>
        </w:tc>
        <w:tc>
          <w:tcPr>
            <w:tcW w:w="0" w:type="auto"/>
            <w:vMerge w:val="continue"/>
            <w:tcBorders>
              <w:bottom w:val="single" w:color="auto" w:sz="4" w:space="0"/>
            </w:tcBorders>
            <w:vAlign w:val="center"/>
          </w:tcPr>
          <w:p>
            <w:pPr>
              <w:widowControl/>
              <w:spacing w:line="360" w:lineRule="exact"/>
              <w:jc w:val="left"/>
              <w:rPr>
                <w:rFonts w:ascii="仿宋_GB2312" w:eastAsia="仿宋_GB2312"/>
                <w:b/>
                <w:sz w:val="24"/>
                <w:szCs w:val="24"/>
              </w:rPr>
            </w:pPr>
          </w:p>
        </w:tc>
        <w:tc>
          <w:tcPr>
            <w:tcW w:w="0" w:type="auto"/>
            <w:vMerge w:val="continue"/>
            <w:tcBorders>
              <w:bottom w:val="single" w:color="auto" w:sz="4" w:space="0"/>
            </w:tcBorders>
            <w:vAlign w:val="center"/>
          </w:tcPr>
          <w:p>
            <w:pPr>
              <w:widowControl/>
              <w:spacing w:line="360" w:lineRule="exact"/>
              <w:jc w:val="left"/>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793" w:type="pct"/>
            <w:vMerge w:val="restart"/>
            <w:vAlign w:val="center"/>
          </w:tcPr>
          <w:p>
            <w:pPr>
              <w:spacing w:line="360" w:lineRule="exact"/>
              <w:jc w:val="center"/>
              <w:rPr>
                <w:rFonts w:ascii="仿宋_GB2312" w:eastAsia="仿宋_GB2312"/>
                <w:sz w:val="24"/>
                <w:szCs w:val="24"/>
              </w:rPr>
            </w:pPr>
            <w:r>
              <w:rPr>
                <w:rFonts w:hint="eastAsia" w:ascii="仿宋_GB2312" w:eastAsia="仿宋_GB2312"/>
                <w:sz w:val="24"/>
                <w:szCs w:val="24"/>
              </w:rPr>
              <w:t>建设基本情况</w:t>
            </w:r>
          </w:p>
          <w:p>
            <w:pPr>
              <w:spacing w:line="360" w:lineRule="exact"/>
              <w:jc w:val="center"/>
              <w:rPr>
                <w:rFonts w:ascii="仿宋_GB2312" w:eastAsia="仿宋_GB2312"/>
                <w:sz w:val="24"/>
                <w:szCs w:val="24"/>
              </w:rPr>
            </w:pPr>
            <w:r>
              <w:rPr>
                <w:rFonts w:hint="eastAsia" w:ascii="仿宋_GB2312" w:eastAsia="仿宋_GB2312"/>
                <w:sz w:val="24"/>
                <w:szCs w:val="24"/>
              </w:rPr>
              <w:t>（75分）</w:t>
            </w:r>
          </w:p>
        </w:tc>
        <w:tc>
          <w:tcPr>
            <w:tcW w:w="895" w:type="pct"/>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实践教学</w:t>
            </w:r>
          </w:p>
        </w:tc>
        <w:tc>
          <w:tcPr>
            <w:tcW w:w="3312" w:type="pct"/>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构建了相对完善的实践教学体系，基地建设思路清晰；企业深度参与基地教学，校企共同制定教学目标、培养方案和考核标准，共同开发课程体系和实践项目；校企合作共同指导学生实践教学项目和毕业论文（设计）等，共同管理实践教学过程，共同评价教学效果，共同考核学生实践成效；实践教学体系完备，实践教学内容贴近生产实际，应用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Merge w:val="continue"/>
            <w:vAlign w:val="center"/>
          </w:tcPr>
          <w:p>
            <w:pPr>
              <w:widowControl/>
              <w:spacing w:line="360" w:lineRule="exact"/>
              <w:jc w:val="center"/>
              <w:rPr>
                <w:rFonts w:ascii="仿宋_GB2312" w:eastAsia="仿宋_GB2312"/>
                <w:sz w:val="24"/>
                <w:szCs w:val="24"/>
              </w:rPr>
            </w:pPr>
          </w:p>
        </w:tc>
        <w:tc>
          <w:tcPr>
            <w:tcW w:w="895" w:type="pct"/>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师资建设</w:t>
            </w:r>
          </w:p>
        </w:tc>
        <w:tc>
          <w:tcPr>
            <w:tcW w:w="3312" w:type="pct"/>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建设双方建立稳定的合作关系，双方共同培养实践教师队伍，开展了师资互聘交流，有较多高水平学科专家、行业企业专家参与指导实践教学；实践教学队伍由高校专任教师和企业兼职教师组成，教师队伍具有专业领域实践经历，结构合理，核心骨干相对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Merge w:val="continue"/>
            <w:vAlign w:val="center"/>
          </w:tcPr>
          <w:p>
            <w:pPr>
              <w:widowControl/>
              <w:spacing w:line="360" w:lineRule="exact"/>
              <w:jc w:val="center"/>
              <w:rPr>
                <w:rFonts w:ascii="仿宋_GB2312" w:eastAsia="仿宋_GB2312"/>
                <w:sz w:val="24"/>
                <w:szCs w:val="24"/>
              </w:rPr>
            </w:pPr>
          </w:p>
        </w:tc>
        <w:tc>
          <w:tcPr>
            <w:tcW w:w="895" w:type="pct"/>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条件建设</w:t>
            </w:r>
          </w:p>
        </w:tc>
        <w:tc>
          <w:tcPr>
            <w:tcW w:w="3312" w:type="pct"/>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的面积、空间、结构布局科学合理，安全、环保符合国家标准，应急设施和措施完备，软硬件设施完善，满足教学需要；与实验室和实验教学示范中心等校内实践实验场地能够互补，形成完备的实践实验教学条件保障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0" w:type="auto"/>
            <w:vMerge w:val="continue"/>
            <w:vAlign w:val="center"/>
          </w:tcPr>
          <w:p>
            <w:pPr>
              <w:widowControl/>
              <w:spacing w:line="360" w:lineRule="exact"/>
              <w:jc w:val="center"/>
              <w:rPr>
                <w:rFonts w:ascii="仿宋_GB2312" w:eastAsia="仿宋_GB2312"/>
                <w:sz w:val="24"/>
                <w:szCs w:val="24"/>
              </w:rPr>
            </w:pPr>
          </w:p>
        </w:tc>
        <w:tc>
          <w:tcPr>
            <w:tcW w:w="895" w:type="pct"/>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管理制度</w:t>
            </w:r>
          </w:p>
        </w:tc>
        <w:tc>
          <w:tcPr>
            <w:tcW w:w="3312" w:type="pct"/>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教学运行、学生管理、安全保障、资金使用等规章制度完善，激励约束机制健全；管理制度规范化、人性化，以学生为本；管理层次完善，目标责任明确，运行机制合理。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0" w:type="auto"/>
            <w:vMerge w:val="continue"/>
            <w:vAlign w:val="center"/>
          </w:tcPr>
          <w:p>
            <w:pPr>
              <w:widowControl/>
              <w:spacing w:line="360" w:lineRule="exact"/>
              <w:jc w:val="center"/>
              <w:rPr>
                <w:rFonts w:ascii="仿宋_GB2312" w:eastAsia="仿宋_GB2312"/>
                <w:sz w:val="24"/>
                <w:szCs w:val="24"/>
              </w:rPr>
            </w:pPr>
          </w:p>
        </w:tc>
        <w:tc>
          <w:tcPr>
            <w:tcW w:w="895" w:type="pct"/>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建设成效</w:t>
            </w:r>
          </w:p>
        </w:tc>
        <w:tc>
          <w:tcPr>
            <w:tcW w:w="3312" w:type="pct"/>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校企深度融合，校外实践教学体系完备，共同开发的实践课程资源丰富，共同编写教材和并建立了实训项目库；依托实践基地，学生实践能力和创新能力显著提升，创新创业项目、专利发明、论文发表数量有所增加；实践教学成果丰富，依托基地建设衍生了一批省级教学改革和质量工程项目、省部级以上教学成果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93" w:type="pct"/>
            <w:vMerge w:val="restart"/>
            <w:vAlign w:val="center"/>
          </w:tcPr>
          <w:p>
            <w:pPr>
              <w:spacing w:line="360" w:lineRule="exact"/>
              <w:jc w:val="center"/>
              <w:rPr>
                <w:rFonts w:ascii="仿宋_GB2312" w:eastAsia="仿宋_GB2312"/>
                <w:sz w:val="24"/>
                <w:szCs w:val="24"/>
              </w:rPr>
            </w:pPr>
            <w:r>
              <w:rPr>
                <w:rFonts w:hint="eastAsia" w:ascii="仿宋_GB2312" w:eastAsia="仿宋_GB2312"/>
                <w:sz w:val="24"/>
                <w:szCs w:val="24"/>
              </w:rPr>
              <w:t>基地运行情况</w:t>
            </w:r>
          </w:p>
          <w:p>
            <w:pPr>
              <w:spacing w:line="360" w:lineRule="exact"/>
              <w:jc w:val="center"/>
              <w:rPr>
                <w:rFonts w:ascii="仿宋_GB2312" w:eastAsia="仿宋_GB2312"/>
                <w:sz w:val="24"/>
                <w:szCs w:val="24"/>
              </w:rPr>
            </w:pPr>
            <w:r>
              <w:rPr>
                <w:rFonts w:hint="eastAsia" w:ascii="仿宋_GB2312" w:eastAsia="仿宋_GB2312"/>
                <w:sz w:val="24"/>
                <w:szCs w:val="24"/>
              </w:rPr>
              <w:t>（20分）</w:t>
            </w:r>
          </w:p>
        </w:tc>
        <w:tc>
          <w:tcPr>
            <w:tcW w:w="895" w:type="pct"/>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满足学生实践需求</w:t>
            </w:r>
          </w:p>
        </w:tc>
        <w:tc>
          <w:tcPr>
            <w:tcW w:w="3312" w:type="pct"/>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场地、设备、实践条件等满足本校相关专业学生实践需求。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0" w:type="auto"/>
            <w:vMerge w:val="continue"/>
            <w:vAlign w:val="center"/>
          </w:tcPr>
          <w:p>
            <w:pPr>
              <w:widowControl/>
              <w:spacing w:line="360" w:lineRule="exact"/>
              <w:jc w:val="center"/>
              <w:rPr>
                <w:rFonts w:ascii="仿宋_GB2312" w:eastAsia="仿宋_GB2312"/>
                <w:sz w:val="24"/>
                <w:szCs w:val="24"/>
              </w:rPr>
            </w:pPr>
          </w:p>
        </w:tc>
        <w:tc>
          <w:tcPr>
            <w:tcW w:w="895" w:type="pct"/>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基地开放共享</w:t>
            </w:r>
          </w:p>
        </w:tc>
        <w:tc>
          <w:tcPr>
            <w:tcW w:w="3312" w:type="pct"/>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基地面向其他高校开放，与其他学校、单位建立开放共享机制。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0" w:type="auto"/>
            <w:vMerge w:val="continue"/>
            <w:vAlign w:val="center"/>
          </w:tcPr>
          <w:p>
            <w:pPr>
              <w:widowControl/>
              <w:spacing w:line="360" w:lineRule="exact"/>
              <w:jc w:val="center"/>
              <w:rPr>
                <w:rFonts w:ascii="仿宋_GB2312" w:eastAsia="仿宋_GB2312"/>
                <w:sz w:val="24"/>
                <w:szCs w:val="24"/>
              </w:rPr>
            </w:pPr>
          </w:p>
        </w:tc>
        <w:tc>
          <w:tcPr>
            <w:tcW w:w="895" w:type="pct"/>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经费使用情况</w:t>
            </w:r>
          </w:p>
        </w:tc>
        <w:tc>
          <w:tcPr>
            <w:tcW w:w="3312" w:type="pct"/>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基地运行经费充足，能够满足实践教学运转需要且运行经费投入制度化，经费保障制度完备；合作单位对基地的建设运营投入经费，支持基地发展。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93" w:type="pct"/>
            <w:vAlign w:val="center"/>
          </w:tcPr>
          <w:p>
            <w:pPr>
              <w:spacing w:line="360" w:lineRule="exact"/>
              <w:jc w:val="center"/>
              <w:rPr>
                <w:rFonts w:ascii="仿宋_GB2312" w:eastAsia="仿宋_GB2312"/>
                <w:sz w:val="24"/>
                <w:szCs w:val="24"/>
              </w:rPr>
            </w:pPr>
            <w:r>
              <w:rPr>
                <w:rFonts w:hint="eastAsia" w:ascii="仿宋_GB2312" w:eastAsia="仿宋_GB2312"/>
                <w:sz w:val="24"/>
                <w:szCs w:val="24"/>
              </w:rPr>
              <w:t>特色与创新</w:t>
            </w:r>
          </w:p>
          <w:p>
            <w:pPr>
              <w:spacing w:line="360" w:lineRule="exact"/>
              <w:jc w:val="center"/>
              <w:rPr>
                <w:rFonts w:ascii="仿宋_GB2312" w:eastAsia="仿宋_GB2312"/>
                <w:sz w:val="24"/>
                <w:szCs w:val="24"/>
              </w:rPr>
            </w:pPr>
            <w:r>
              <w:rPr>
                <w:rFonts w:hint="eastAsia" w:ascii="仿宋_GB2312" w:eastAsia="仿宋_GB2312"/>
                <w:sz w:val="24"/>
                <w:szCs w:val="24"/>
              </w:rPr>
              <w:t>（5分）</w:t>
            </w:r>
          </w:p>
        </w:tc>
        <w:tc>
          <w:tcPr>
            <w:tcW w:w="895" w:type="pct"/>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特色与创新</w:t>
            </w:r>
          </w:p>
        </w:tc>
        <w:tc>
          <w:tcPr>
            <w:tcW w:w="3312" w:type="pct"/>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基地建设富有自身特色，在实践教学、师资队伍、条件建设、管理模式、运作管理、能力培养等方面具有独特的、创新性的做法，且在全省乃至全国范围内具有推广应用价值。</w:t>
            </w:r>
          </w:p>
        </w:tc>
      </w:tr>
    </w:tbl>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pStyle w:val="2"/>
        <w:bidi w:val="0"/>
      </w:pPr>
      <w:bookmarkStart w:id="9" w:name="_Toc12644"/>
      <w:r>
        <w:rPr>
          <w:rFonts w:hint="eastAsia"/>
        </w:rPr>
        <w:t>广东省省实验教学示范中心验收评审指标体系（试行）</w:t>
      </w:r>
      <w:bookmarkEnd w:id="9"/>
    </w:p>
    <w:tbl>
      <w:tblPr>
        <w:tblStyle w:val="9"/>
        <w:tblW w:w="15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2109"/>
        <w:gridCol w:w="1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blHeader/>
          <w:jc w:val="center"/>
        </w:trPr>
        <w:tc>
          <w:tcPr>
            <w:tcW w:w="1944" w:type="dxa"/>
            <w:vMerge w:val="restart"/>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109" w:type="dxa"/>
            <w:vMerge w:val="restart"/>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1198" w:type="dxa"/>
            <w:vMerge w:val="restart"/>
            <w:vAlign w:val="center"/>
          </w:tcPr>
          <w:p>
            <w:pPr>
              <w:jc w:val="center"/>
              <w:rPr>
                <w:rFonts w:ascii="仿宋_GB2312" w:eastAsia="仿宋_GB2312"/>
                <w:b/>
                <w:sz w:val="24"/>
                <w:szCs w:val="24"/>
              </w:rPr>
            </w:pPr>
            <w:r>
              <w:rPr>
                <w:rFonts w:hint="eastAsia" w:ascii="仿宋_GB2312" w:eastAsia="仿宋_GB2312"/>
                <w:b/>
                <w:sz w:val="24"/>
                <w:szCs w:val="24"/>
              </w:rPr>
              <w:t>指标内涵及相关主要观测点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944" w:type="dxa"/>
            <w:vMerge w:val="continue"/>
            <w:vAlign w:val="center"/>
          </w:tcPr>
          <w:p>
            <w:pPr>
              <w:rPr>
                <w:rFonts w:ascii="仿宋_GB2312" w:eastAsia="仿宋_GB2312"/>
                <w:b/>
                <w:sz w:val="24"/>
                <w:szCs w:val="24"/>
              </w:rPr>
            </w:pPr>
          </w:p>
        </w:tc>
        <w:tc>
          <w:tcPr>
            <w:tcW w:w="2109" w:type="dxa"/>
            <w:vMerge w:val="continue"/>
            <w:vAlign w:val="center"/>
          </w:tcPr>
          <w:p>
            <w:pPr>
              <w:jc w:val="center"/>
              <w:rPr>
                <w:rFonts w:ascii="仿宋_GB2312" w:eastAsia="仿宋_GB2312"/>
                <w:b/>
                <w:sz w:val="24"/>
                <w:szCs w:val="24"/>
              </w:rPr>
            </w:pPr>
          </w:p>
        </w:tc>
        <w:tc>
          <w:tcPr>
            <w:tcW w:w="11198" w:type="dxa"/>
            <w:vMerge w:val="continue"/>
            <w:vAlign w:val="center"/>
          </w:tcPr>
          <w:p>
            <w:pP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944" w:type="dxa"/>
            <w:vMerge w:val="restart"/>
            <w:vAlign w:val="center"/>
          </w:tcPr>
          <w:p>
            <w:pPr>
              <w:rPr>
                <w:rFonts w:ascii="仿宋_GB2312" w:eastAsia="仿宋_GB2312"/>
                <w:sz w:val="24"/>
                <w:szCs w:val="24"/>
              </w:rPr>
            </w:pPr>
            <w:r>
              <w:rPr>
                <w:rFonts w:hint="eastAsia" w:ascii="仿宋_GB2312" w:eastAsia="仿宋_GB2312"/>
                <w:sz w:val="24"/>
                <w:szCs w:val="24"/>
              </w:rPr>
              <w:t>实验教学（30分）</w:t>
            </w: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教学体系</w:t>
            </w:r>
          </w:p>
        </w:tc>
        <w:tc>
          <w:tcPr>
            <w:tcW w:w="11198" w:type="dxa"/>
            <w:vAlign w:val="center"/>
          </w:tcPr>
          <w:p>
            <w:pPr>
              <w:rPr>
                <w:rFonts w:ascii="仿宋_GB2312" w:eastAsia="仿宋_GB2312"/>
                <w:sz w:val="24"/>
                <w:szCs w:val="24"/>
              </w:rPr>
            </w:pPr>
            <w:r>
              <w:rPr>
                <w:rFonts w:hint="eastAsia" w:ascii="仿宋_GB2312" w:eastAsia="仿宋_GB2312"/>
                <w:sz w:val="24"/>
                <w:szCs w:val="24"/>
              </w:rPr>
              <w:t>建立与理论教学有机结合,以能力培养为核心,分层次的实验教学体系，涵盖基本型实验、综合设计型实验、研究创新型实验等；教学内容注重传统与现代的结合，与科研、工程和社会应用实践密切联系,融入科技创新和实验教学改革成果；有自编实验教材，且水平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1944" w:type="dxa"/>
            <w:vMerge w:val="continue"/>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教学方法</w:t>
            </w:r>
          </w:p>
        </w:tc>
        <w:tc>
          <w:tcPr>
            <w:tcW w:w="11198" w:type="dxa"/>
            <w:vAlign w:val="center"/>
          </w:tcPr>
          <w:p>
            <w:pPr>
              <w:rPr>
                <w:rFonts w:ascii="仿宋_GB2312" w:eastAsia="仿宋_GB2312"/>
                <w:sz w:val="24"/>
                <w:szCs w:val="24"/>
              </w:rPr>
            </w:pPr>
            <w:r>
              <w:rPr>
                <w:rFonts w:hint="eastAsia" w:ascii="仿宋_GB2312" w:eastAsia="仿宋_GB2312"/>
                <w:sz w:val="24"/>
                <w:szCs w:val="24"/>
              </w:rPr>
              <w:t>重视实验技术研究，实验项目选择、实验方案设计有利于启发学生科学思维和创新意识；改进实验教学方法，建立以学生为中心的实验教学模式，形成以自主式、合作式、研究式为主的学习方式；实验教学手段先进，引入现代技术，融合多种方式辅助实验教学；建立多元实验考核方法，统筹考核实验过程与实验结果，激发学生实验兴趣，提高实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1944" w:type="dxa"/>
            <w:vMerge w:val="continue"/>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教学效果</w:t>
            </w:r>
          </w:p>
        </w:tc>
        <w:tc>
          <w:tcPr>
            <w:tcW w:w="11198" w:type="dxa"/>
            <w:vAlign w:val="center"/>
          </w:tcPr>
          <w:p>
            <w:pPr>
              <w:rPr>
                <w:rFonts w:ascii="仿宋_GB2312" w:eastAsia="仿宋_GB2312"/>
                <w:sz w:val="24"/>
                <w:szCs w:val="24"/>
              </w:rPr>
            </w:pPr>
            <w:r>
              <w:rPr>
                <w:rFonts w:hint="eastAsia" w:ascii="仿宋_GB2312" w:eastAsia="仿宋_GB2312"/>
                <w:sz w:val="24"/>
                <w:szCs w:val="24"/>
              </w:rPr>
              <w:t>专业覆盖面广，实验开出率高，教学效果好，学生实验兴趣浓厚，对实验教学评价总体优良；学生实验基本技能宽厚扎实，实践创新能力强，实验创新成果多，学生有正式发表的论文或省部级以上竞赛奖等；实验教学成果丰富，正式发表的高水平实验教学论文多，承担省部级以上教学改革项目，成果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944" w:type="dxa"/>
            <w:vMerge w:val="restart"/>
            <w:vAlign w:val="center"/>
          </w:tcPr>
          <w:p>
            <w:pPr>
              <w:rPr>
                <w:rFonts w:ascii="仿宋_GB2312" w:eastAsia="仿宋_GB2312"/>
                <w:sz w:val="24"/>
                <w:szCs w:val="24"/>
              </w:rPr>
            </w:pPr>
            <w:r>
              <w:rPr>
                <w:rFonts w:hint="eastAsia" w:ascii="仿宋_GB2312" w:eastAsia="仿宋_GB2312"/>
                <w:sz w:val="24"/>
                <w:szCs w:val="24"/>
              </w:rPr>
              <w:t>教学队伍（20分）</w:t>
            </w: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制度建设</w:t>
            </w:r>
          </w:p>
        </w:tc>
        <w:tc>
          <w:tcPr>
            <w:tcW w:w="11198" w:type="dxa"/>
            <w:vAlign w:val="center"/>
          </w:tcPr>
          <w:p>
            <w:pPr>
              <w:rPr>
                <w:rFonts w:ascii="仿宋_GB2312" w:eastAsia="仿宋_GB2312"/>
                <w:sz w:val="24"/>
                <w:szCs w:val="24"/>
              </w:rPr>
            </w:pPr>
            <w:r>
              <w:rPr>
                <w:rFonts w:hint="eastAsia" w:ascii="仿宋_GB2312" w:eastAsia="仿宋_GB2312"/>
                <w:sz w:val="24"/>
                <w:szCs w:val="24"/>
              </w:rPr>
              <w:t>学校重视实验教学队伍建设，规划科学；政策措施得力，能引导和激励高水平教师积极投入实验教学；实验教学队伍培养培训制度健全落实，富有成效。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944" w:type="dxa"/>
            <w:vMerge w:val="continue"/>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队伍状况</w:t>
            </w:r>
          </w:p>
        </w:tc>
        <w:tc>
          <w:tcPr>
            <w:tcW w:w="11198" w:type="dxa"/>
            <w:vAlign w:val="center"/>
          </w:tcPr>
          <w:p>
            <w:pPr>
              <w:rPr>
                <w:rFonts w:ascii="仿宋_GB2312" w:eastAsia="仿宋_GB2312"/>
                <w:sz w:val="24"/>
                <w:szCs w:val="24"/>
              </w:rPr>
            </w:pPr>
            <w:r>
              <w:rPr>
                <w:rFonts w:hint="eastAsia" w:ascii="仿宋_GB2312" w:eastAsia="仿宋_GB2312"/>
                <w:sz w:val="24"/>
                <w:szCs w:val="24"/>
              </w:rPr>
              <w:t>实验教学中心负责人学术水平高，具有高级职称，教学科研实践经验丰富，热爱实验教学，管理能力强；实验教学队伍结构合理，与理论教学人员互通，骨干力量相对稳定，保持动态平衡；实验教学队伍教学科研创新能力强，实验教学水平高，积极参加教学改革、科学研究、社会服务、国际交流；实验教学队伍教风优良，治学严谨，勇于探索和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1944" w:type="dxa"/>
            <w:vMerge w:val="restart"/>
            <w:vAlign w:val="center"/>
          </w:tcPr>
          <w:p>
            <w:pPr>
              <w:rPr>
                <w:rFonts w:ascii="仿宋_GB2312" w:eastAsia="仿宋_GB2312"/>
                <w:sz w:val="24"/>
                <w:szCs w:val="24"/>
              </w:rPr>
            </w:pPr>
            <w:r>
              <w:rPr>
                <w:rFonts w:hint="eastAsia" w:ascii="仿宋_GB2312" w:eastAsia="仿宋_GB2312"/>
                <w:sz w:val="24"/>
                <w:szCs w:val="24"/>
              </w:rPr>
              <w:t>设备与环境（30分）</w:t>
            </w: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信息平台</w:t>
            </w:r>
          </w:p>
        </w:tc>
        <w:tc>
          <w:tcPr>
            <w:tcW w:w="11198" w:type="dxa"/>
            <w:vAlign w:val="center"/>
          </w:tcPr>
          <w:p>
            <w:pPr>
              <w:rPr>
                <w:rFonts w:ascii="仿宋_GB2312" w:eastAsia="仿宋_GB2312"/>
                <w:sz w:val="24"/>
                <w:szCs w:val="24"/>
              </w:rPr>
            </w:pPr>
            <w:r>
              <w:rPr>
                <w:rFonts w:hint="eastAsia" w:ascii="仿宋_GB2312" w:eastAsia="仿宋_GB2312"/>
                <w:sz w:val="24"/>
                <w:szCs w:val="24"/>
              </w:rPr>
              <w:t>建成网络化实验教学和实验室管理信息平台；具有丰富的网络实验教学资源；实现网上辅助教学和网络化、智能化管理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1944" w:type="dxa"/>
            <w:vMerge w:val="continue"/>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运行机制</w:t>
            </w:r>
          </w:p>
        </w:tc>
        <w:tc>
          <w:tcPr>
            <w:tcW w:w="11198" w:type="dxa"/>
            <w:vAlign w:val="center"/>
          </w:tcPr>
          <w:p>
            <w:pPr>
              <w:rPr>
                <w:rFonts w:ascii="仿宋_GB2312" w:eastAsia="仿宋_GB2312"/>
                <w:sz w:val="24"/>
                <w:szCs w:val="24"/>
              </w:rPr>
            </w:pPr>
            <w:r>
              <w:rPr>
                <w:rFonts w:hint="eastAsia" w:ascii="仿宋_GB2312" w:eastAsia="仿宋_GB2312"/>
                <w:sz w:val="24"/>
                <w:szCs w:val="24"/>
              </w:rPr>
              <w:t>实验教学开放运行，保障措施落实得力，中心运行良好；管理制度规范化、人性化，以学生为本；实验教学评价办法科学合理，鼓励教师积极投入和改革创新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1944" w:type="dxa"/>
            <w:vMerge w:val="continue"/>
            <w:tcBorders>
              <w:bottom w:val="single" w:color="000000" w:sz="4" w:space="0"/>
            </w:tcBorders>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场地和仪器设备</w:t>
            </w:r>
          </w:p>
        </w:tc>
        <w:tc>
          <w:tcPr>
            <w:tcW w:w="11198" w:type="dxa"/>
            <w:vAlign w:val="center"/>
          </w:tcPr>
          <w:p>
            <w:pPr>
              <w:rPr>
                <w:rFonts w:ascii="仿宋_GB2312" w:eastAsia="仿宋_GB2312"/>
                <w:sz w:val="24"/>
                <w:szCs w:val="24"/>
              </w:rPr>
            </w:pPr>
            <w:r>
              <w:rPr>
                <w:rFonts w:hint="eastAsia" w:ascii="仿宋_GB2312" w:eastAsia="仿宋_GB2312"/>
                <w:sz w:val="24"/>
                <w:szCs w:val="24"/>
              </w:rPr>
              <w:t>中心实验场地充足，实验室面积、空间、布局科学合理。实验仪器品质精良，组合优化，配置合理，数量充足，满足现代实验教学要求；仪器设备使用效益高；改进、自制仪器设备有特色、教学效果好；仪器设备管理制度健全落实；设备与环境维护措施得力，设备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944" w:type="dxa"/>
            <w:tcBorders>
              <w:top w:val="single" w:color="000000" w:sz="4" w:space="0"/>
              <w:bottom w:val="single" w:color="000000" w:sz="4" w:space="0"/>
            </w:tcBorders>
            <w:vAlign w:val="center"/>
          </w:tcPr>
          <w:p>
            <w:pPr>
              <w:rPr>
                <w:rFonts w:ascii="仿宋_GB2312" w:eastAsia="仿宋_GB2312"/>
                <w:sz w:val="24"/>
                <w:szCs w:val="24"/>
              </w:rPr>
            </w:pPr>
            <w:r>
              <w:rPr>
                <w:rFonts w:hint="eastAsia" w:ascii="仿宋_GB2312" w:eastAsia="仿宋_GB2312"/>
                <w:sz w:val="24"/>
                <w:szCs w:val="24"/>
              </w:rPr>
              <w:t>经费投入情况（10分）</w:t>
            </w: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经费投入</w:t>
            </w:r>
          </w:p>
        </w:tc>
        <w:tc>
          <w:tcPr>
            <w:tcW w:w="11198" w:type="dxa"/>
            <w:vAlign w:val="center"/>
          </w:tcPr>
          <w:p>
            <w:pPr>
              <w:rPr>
                <w:rFonts w:ascii="仿宋_GB2312" w:eastAsia="仿宋_GB2312"/>
                <w:sz w:val="24"/>
                <w:szCs w:val="24"/>
              </w:rPr>
            </w:pPr>
            <w:r>
              <w:rPr>
                <w:rFonts w:hint="eastAsia" w:ascii="仿宋_GB2312" w:eastAsia="仿宋_GB2312"/>
                <w:sz w:val="24"/>
                <w:szCs w:val="24"/>
              </w:rPr>
              <w:t>实验教学运行经费投入制度化；仪器设备维护经费足额到位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944" w:type="dxa"/>
            <w:tcBorders>
              <w:top w:val="single" w:color="000000"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基本情况（10分）</w:t>
            </w:r>
          </w:p>
        </w:tc>
        <w:tc>
          <w:tcPr>
            <w:tcW w:w="2109"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1119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主要建设任务已基本完成；建设成果达到申报预期</w:t>
            </w:r>
          </w:p>
        </w:tc>
      </w:tr>
    </w:tbl>
    <w:p>
      <w:pPr>
        <w:pStyle w:val="2"/>
        <w:bidi w:val="0"/>
      </w:pPr>
      <w:bookmarkStart w:id="10" w:name="_Toc19313"/>
      <w:r>
        <w:rPr>
          <w:rFonts w:hint="eastAsia"/>
        </w:rPr>
        <w:t>广东省大学生应用型人才培养示范基地验收评审指标体系（试行）</w:t>
      </w:r>
      <w:bookmarkEnd w:id="10"/>
    </w:p>
    <w:tbl>
      <w:tblPr>
        <w:tblStyle w:val="9"/>
        <w:tblW w:w="50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6"/>
        <w:gridCol w:w="1981"/>
        <w:gridCol w:w="1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pct"/>
            <w:vMerge w:val="restart"/>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646" w:type="pct"/>
            <w:vMerge w:val="restart"/>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3714" w:type="pct"/>
            <w:vMerge w:val="restart"/>
            <w:vAlign w:val="center"/>
          </w:tcPr>
          <w:p>
            <w:pPr>
              <w:jc w:val="center"/>
              <w:rPr>
                <w:rFonts w:ascii="仿宋_GB2312" w:eastAsia="仿宋_GB2312"/>
                <w:b/>
                <w:sz w:val="24"/>
                <w:szCs w:val="24"/>
              </w:rPr>
            </w:pPr>
            <w:r>
              <w:rPr>
                <w:rFonts w:hint="eastAsia" w:ascii="仿宋_GB2312" w:eastAsia="仿宋_GB2312"/>
                <w:b/>
                <w:sz w:val="24"/>
                <w:szCs w:val="24"/>
              </w:rPr>
              <w:t>指标内涵及相关主要观测点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39" w:type="pct"/>
            <w:vMerge w:val="continue"/>
            <w:vAlign w:val="center"/>
          </w:tcPr>
          <w:p>
            <w:pPr>
              <w:rPr>
                <w:rFonts w:ascii="仿宋_GB2312" w:eastAsia="仿宋_GB2312"/>
                <w:sz w:val="24"/>
                <w:szCs w:val="24"/>
              </w:rPr>
            </w:pPr>
          </w:p>
        </w:tc>
        <w:tc>
          <w:tcPr>
            <w:tcW w:w="646" w:type="pct"/>
            <w:vMerge w:val="continue"/>
            <w:vAlign w:val="center"/>
          </w:tcPr>
          <w:p>
            <w:pPr>
              <w:jc w:val="center"/>
              <w:rPr>
                <w:rFonts w:ascii="仿宋_GB2312" w:eastAsia="仿宋_GB2312"/>
                <w:sz w:val="24"/>
                <w:szCs w:val="24"/>
              </w:rPr>
            </w:pPr>
          </w:p>
        </w:tc>
        <w:tc>
          <w:tcPr>
            <w:tcW w:w="3714" w:type="pct"/>
            <w:vMerge w:val="continue"/>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9" w:type="pct"/>
            <w:vMerge w:val="continue"/>
            <w:tcBorders>
              <w:bottom w:val="single" w:color="auto" w:sz="4" w:space="0"/>
            </w:tcBorders>
            <w:vAlign w:val="center"/>
          </w:tcPr>
          <w:p>
            <w:pPr>
              <w:rPr>
                <w:rFonts w:ascii="仿宋_GB2312" w:eastAsia="仿宋_GB2312"/>
                <w:sz w:val="24"/>
                <w:szCs w:val="24"/>
              </w:rPr>
            </w:pPr>
          </w:p>
        </w:tc>
        <w:tc>
          <w:tcPr>
            <w:tcW w:w="646" w:type="pct"/>
            <w:vMerge w:val="continue"/>
            <w:tcBorders>
              <w:bottom w:val="single" w:color="auto" w:sz="4" w:space="0"/>
            </w:tcBorders>
            <w:vAlign w:val="center"/>
          </w:tcPr>
          <w:p>
            <w:pPr>
              <w:jc w:val="center"/>
              <w:rPr>
                <w:rFonts w:ascii="仿宋_GB2312" w:eastAsia="仿宋_GB2312"/>
                <w:sz w:val="24"/>
                <w:szCs w:val="24"/>
              </w:rPr>
            </w:pPr>
          </w:p>
        </w:tc>
        <w:tc>
          <w:tcPr>
            <w:tcW w:w="3714" w:type="pct"/>
            <w:vMerge w:val="continue"/>
            <w:tcBorders>
              <w:bottom w:val="single" w:color="auto" w:sz="4" w:space="0"/>
            </w:tcBorders>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639" w:type="pct"/>
            <w:vMerge w:val="restart"/>
            <w:vAlign w:val="center"/>
          </w:tcPr>
          <w:p>
            <w:pPr>
              <w:jc w:val="center"/>
              <w:rPr>
                <w:rFonts w:ascii="仿宋_GB2312" w:eastAsia="仿宋_GB2312"/>
                <w:sz w:val="24"/>
                <w:szCs w:val="24"/>
              </w:rPr>
            </w:pPr>
            <w:r>
              <w:rPr>
                <w:rFonts w:hint="eastAsia" w:ascii="仿宋_GB2312" w:eastAsia="仿宋_GB2312"/>
                <w:sz w:val="24"/>
                <w:szCs w:val="24"/>
              </w:rPr>
              <w:t>基地管理（15分）</w:t>
            </w:r>
          </w:p>
        </w:tc>
        <w:tc>
          <w:tcPr>
            <w:tcW w:w="646" w:type="pct"/>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基地定位</w:t>
            </w:r>
          </w:p>
        </w:tc>
        <w:tc>
          <w:tcPr>
            <w:tcW w:w="3714" w:type="pct"/>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基地定位明确，能够坚持服务地方宗旨，主动适应区域产业经济发展需求，突出应用性培养的特色，注重基地内涵建设。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39" w:type="pct"/>
            <w:vMerge w:val="continue"/>
            <w:tcBorders>
              <w:bottom w:val="single" w:color="auto" w:sz="4" w:space="0"/>
            </w:tcBorders>
            <w:vAlign w:val="center"/>
          </w:tcPr>
          <w:p>
            <w:pPr>
              <w:jc w:val="center"/>
              <w:rPr>
                <w:rFonts w:ascii="仿宋_GB2312" w:eastAsia="仿宋_GB2312"/>
                <w:sz w:val="24"/>
                <w:szCs w:val="24"/>
              </w:rPr>
            </w:pPr>
          </w:p>
        </w:tc>
        <w:tc>
          <w:tcPr>
            <w:tcW w:w="646" w:type="pct"/>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运行机制</w:t>
            </w:r>
          </w:p>
        </w:tc>
        <w:tc>
          <w:tcPr>
            <w:tcW w:w="3714" w:type="pct"/>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教学运行、学生管理、安全保障、资金使用等制度规范化、人性化，以学生为本，激励约束机制健全；建立健全协同育人机制，促进校企协同创新。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39" w:type="pct"/>
            <w:vMerge w:val="restart"/>
            <w:vAlign w:val="center"/>
          </w:tcPr>
          <w:p>
            <w:pPr>
              <w:jc w:val="center"/>
              <w:rPr>
                <w:rFonts w:ascii="仿宋_GB2312" w:eastAsia="仿宋_GB2312"/>
                <w:sz w:val="24"/>
                <w:szCs w:val="24"/>
              </w:rPr>
            </w:pPr>
            <w:r>
              <w:rPr>
                <w:rFonts w:hint="eastAsia" w:ascii="仿宋_GB2312" w:eastAsia="仿宋_GB2312"/>
                <w:sz w:val="24"/>
                <w:szCs w:val="24"/>
              </w:rPr>
              <w:t>基地建设（30分）</w:t>
            </w:r>
          </w:p>
        </w:tc>
        <w:tc>
          <w:tcPr>
            <w:tcW w:w="646" w:type="pct"/>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资金运行</w:t>
            </w:r>
          </w:p>
        </w:tc>
        <w:tc>
          <w:tcPr>
            <w:tcW w:w="3714" w:type="pct"/>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基地运行经费充足，能够满足基地运转需要且运行经费投入制度化，经费保障制度完备；作单位对基地的建设运营投入经费，支持基地发展。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39" w:type="pct"/>
            <w:vMerge w:val="continue"/>
            <w:tcBorders>
              <w:bottom w:val="single" w:color="auto" w:sz="4" w:space="0"/>
            </w:tcBorders>
            <w:vAlign w:val="center"/>
          </w:tcPr>
          <w:p>
            <w:pPr>
              <w:jc w:val="center"/>
              <w:rPr>
                <w:rFonts w:ascii="仿宋_GB2312" w:eastAsia="仿宋_GB2312"/>
                <w:sz w:val="24"/>
                <w:szCs w:val="24"/>
              </w:rPr>
            </w:pPr>
          </w:p>
        </w:tc>
        <w:tc>
          <w:tcPr>
            <w:tcW w:w="646" w:type="pct"/>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条件建设</w:t>
            </w:r>
          </w:p>
        </w:tc>
        <w:tc>
          <w:tcPr>
            <w:tcW w:w="3714" w:type="pct"/>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基地的面积、空间、结构布局科学合理，安全、环保符合国家标准，软硬件设施满足教学需要；基地建设双方合作关系稳定，有制度保障；师资队伍满足教学需求，制定基地师资队伍建设计划，有较多企业人才参与基地教学，专兼师资队伍结构合理，核心骨干相对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639" w:type="pct"/>
            <w:vMerge w:val="restart"/>
            <w:vAlign w:val="center"/>
          </w:tcPr>
          <w:p>
            <w:pPr>
              <w:jc w:val="center"/>
              <w:rPr>
                <w:rFonts w:ascii="仿宋_GB2312" w:eastAsia="仿宋_GB2312"/>
                <w:sz w:val="24"/>
                <w:szCs w:val="24"/>
              </w:rPr>
            </w:pPr>
            <w:r>
              <w:rPr>
                <w:rFonts w:hint="eastAsia" w:ascii="仿宋_GB2312" w:eastAsia="仿宋_GB2312"/>
                <w:sz w:val="24"/>
                <w:szCs w:val="24"/>
              </w:rPr>
              <w:t>基地效益（40分）</w:t>
            </w:r>
          </w:p>
        </w:tc>
        <w:tc>
          <w:tcPr>
            <w:tcW w:w="646" w:type="pct"/>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实践教学</w:t>
            </w:r>
          </w:p>
        </w:tc>
        <w:tc>
          <w:tcPr>
            <w:tcW w:w="3714" w:type="pct"/>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实践教学体系完备、层次分明；企业深度参与基地教学和人才培养全过程；校企合作共同指导学生实践教学项目和毕业论文（设计）等，共同管理实践教学过程，共同评价教学效果，共同考核学生实践成效；实践教学体系完备，实践教学内容贴近生产实际，应用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639" w:type="pct"/>
            <w:vMerge w:val="continue"/>
            <w:tcBorders>
              <w:bottom w:val="single" w:color="auto" w:sz="4" w:space="0"/>
            </w:tcBorders>
            <w:vAlign w:val="center"/>
          </w:tcPr>
          <w:p>
            <w:pPr>
              <w:rPr>
                <w:rFonts w:ascii="仿宋_GB2312" w:eastAsia="仿宋_GB2312"/>
                <w:sz w:val="24"/>
                <w:szCs w:val="24"/>
              </w:rPr>
            </w:pPr>
          </w:p>
        </w:tc>
        <w:tc>
          <w:tcPr>
            <w:tcW w:w="646" w:type="pct"/>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培养质量</w:t>
            </w:r>
          </w:p>
        </w:tc>
        <w:tc>
          <w:tcPr>
            <w:tcW w:w="3714" w:type="pct"/>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依托基地，学生实践能力和创新能力显著提升，创新创业项目、专利发明、论文发表数量有所增加；依托基地，学生就业率有所提高，用人单位满意度提高；实践教学成果丰富，依托基地建设衍生了一批省级教学改革和质量工程项目、省部级以上教学成果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86" w:type="pct"/>
            <w:gridSpan w:val="2"/>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特色或创新（15分）</w:t>
            </w:r>
          </w:p>
        </w:tc>
        <w:tc>
          <w:tcPr>
            <w:tcW w:w="3714" w:type="pct"/>
            <w:vAlign w:val="center"/>
          </w:tcPr>
          <w:p>
            <w:pPr>
              <w:jc w:val="left"/>
              <w:rPr>
                <w:rFonts w:ascii="仿宋_GB2312" w:eastAsia="仿宋_GB2312"/>
                <w:sz w:val="24"/>
                <w:szCs w:val="24"/>
              </w:rPr>
            </w:pPr>
            <w:r>
              <w:rPr>
                <w:rFonts w:hint="eastAsia" w:ascii="仿宋_GB2312" w:eastAsia="仿宋_GB2312"/>
                <w:sz w:val="24"/>
                <w:szCs w:val="24"/>
              </w:rPr>
              <w:t>基地建设富有自身特色，在实践教学、师资队伍、条件建设、管理模式、运作管理、能力培养等方面具有独特的、创新性的做法，部分经验做法在全省乃至全国范围内具有推广应用价值</w:t>
            </w:r>
          </w:p>
        </w:tc>
      </w:tr>
    </w:tbl>
    <w:p>
      <w:pPr>
        <w:pStyle w:val="2"/>
        <w:bidi w:val="0"/>
      </w:pPr>
      <w:bookmarkStart w:id="11" w:name="_Toc1482"/>
      <w:r>
        <w:rPr>
          <w:rFonts w:hint="eastAsia"/>
        </w:rPr>
        <w:t>广东省普通高等学校应用型人才培养示范专业/战略新兴产业特色专业评审指标（试行）</w:t>
      </w:r>
      <w:bookmarkEnd w:id="11"/>
    </w:p>
    <w:tbl>
      <w:tblPr>
        <w:tblStyle w:val="9"/>
        <w:tblW w:w="14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9"/>
        <w:gridCol w:w="2134"/>
        <w:gridCol w:w="9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799"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一级指标</w:t>
            </w:r>
          </w:p>
        </w:tc>
        <w:tc>
          <w:tcPr>
            <w:tcW w:w="2134"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二级指标</w:t>
            </w:r>
          </w:p>
        </w:tc>
        <w:tc>
          <w:tcPr>
            <w:tcW w:w="9919"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799" w:type="dxa"/>
            <w:vMerge w:val="continue"/>
            <w:vAlign w:val="center"/>
          </w:tcPr>
          <w:p>
            <w:pPr>
              <w:rPr>
                <w:rFonts w:ascii="仿宋_GB2312" w:eastAsia="仿宋_GB2312"/>
                <w:b/>
                <w:bCs/>
                <w:sz w:val="24"/>
                <w:szCs w:val="24"/>
              </w:rPr>
            </w:pPr>
          </w:p>
        </w:tc>
        <w:tc>
          <w:tcPr>
            <w:tcW w:w="2134" w:type="dxa"/>
            <w:vMerge w:val="continue"/>
            <w:vAlign w:val="center"/>
          </w:tcPr>
          <w:p>
            <w:pPr>
              <w:jc w:val="center"/>
              <w:rPr>
                <w:rFonts w:ascii="仿宋_GB2312" w:eastAsia="仿宋_GB2312"/>
                <w:b/>
                <w:bCs/>
                <w:sz w:val="24"/>
                <w:szCs w:val="24"/>
              </w:rPr>
            </w:pPr>
          </w:p>
        </w:tc>
        <w:tc>
          <w:tcPr>
            <w:tcW w:w="9919" w:type="dxa"/>
            <w:vMerge w:val="continue"/>
            <w:vAlign w:val="center"/>
          </w:tcPr>
          <w:p>
            <w:pP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799" w:type="dxa"/>
            <w:vMerge w:val="continue"/>
            <w:vAlign w:val="center"/>
          </w:tcPr>
          <w:p>
            <w:pPr>
              <w:rPr>
                <w:rFonts w:ascii="仿宋_GB2312" w:eastAsia="仿宋_GB2312"/>
                <w:b/>
                <w:bCs/>
                <w:sz w:val="24"/>
                <w:szCs w:val="24"/>
              </w:rPr>
            </w:pPr>
          </w:p>
        </w:tc>
        <w:tc>
          <w:tcPr>
            <w:tcW w:w="2134" w:type="dxa"/>
            <w:vMerge w:val="continue"/>
            <w:vAlign w:val="center"/>
          </w:tcPr>
          <w:p>
            <w:pPr>
              <w:jc w:val="center"/>
              <w:rPr>
                <w:rFonts w:ascii="仿宋_GB2312" w:eastAsia="仿宋_GB2312"/>
                <w:b/>
                <w:bCs/>
                <w:sz w:val="24"/>
                <w:szCs w:val="24"/>
              </w:rPr>
            </w:pPr>
          </w:p>
        </w:tc>
        <w:tc>
          <w:tcPr>
            <w:tcW w:w="9919" w:type="dxa"/>
            <w:vMerge w:val="continue"/>
            <w:vAlign w:val="center"/>
          </w:tcPr>
          <w:p>
            <w:pP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rPr>
              <w:t>建设目标与保障（10分）</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专业定位</w:t>
            </w:r>
          </w:p>
        </w:tc>
        <w:tc>
          <w:tcPr>
            <w:tcW w:w="9919" w:type="dxa"/>
            <w:vAlign w:val="center"/>
          </w:tcPr>
          <w:p>
            <w:pPr>
              <w:rPr>
                <w:rFonts w:ascii="仿宋_GB2312" w:eastAsia="仿宋_GB2312"/>
                <w:sz w:val="24"/>
                <w:szCs w:val="24"/>
              </w:rPr>
            </w:pPr>
            <w:r>
              <w:rPr>
                <w:rFonts w:hint="eastAsia" w:ascii="仿宋_GB2312" w:eastAsia="仿宋_GB2312"/>
                <w:sz w:val="24"/>
                <w:szCs w:val="24"/>
              </w:rPr>
              <w:t>明确对接区域和产业链的应用型专业定位，确立为产业发展提供人才的专业建设目标。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建设措施</w:t>
            </w:r>
          </w:p>
        </w:tc>
        <w:tc>
          <w:tcPr>
            <w:tcW w:w="9919" w:type="dxa"/>
            <w:vAlign w:val="center"/>
          </w:tcPr>
          <w:p>
            <w:pPr>
              <w:rPr>
                <w:rFonts w:ascii="仿宋_GB2312" w:eastAsia="仿宋_GB2312"/>
                <w:sz w:val="24"/>
                <w:szCs w:val="24"/>
              </w:rPr>
            </w:pPr>
            <w:r>
              <w:rPr>
                <w:rFonts w:hint="eastAsia" w:ascii="仿宋_GB2312" w:eastAsia="仿宋_GB2312"/>
                <w:sz w:val="24"/>
                <w:szCs w:val="24"/>
              </w:rPr>
              <w:t>专业发展规划科学合理, 与产业发展结合紧密，专业分期建设目标明确，建设措施得力，具有一定的学科优势和特色。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1"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rPr>
              <w:t>师资队伍（20分）</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师资力量</w:t>
            </w:r>
          </w:p>
        </w:tc>
        <w:tc>
          <w:tcPr>
            <w:tcW w:w="9919" w:type="dxa"/>
            <w:vAlign w:val="center"/>
          </w:tcPr>
          <w:p>
            <w:pPr>
              <w:rPr>
                <w:rFonts w:ascii="仿宋_GB2312" w:eastAsia="仿宋_GB2312"/>
                <w:bCs/>
                <w:sz w:val="24"/>
                <w:szCs w:val="24"/>
              </w:rPr>
            </w:pPr>
            <w:r>
              <w:rPr>
                <w:rFonts w:hint="eastAsia" w:ascii="仿宋_GB2312" w:eastAsia="仿宋_GB2312"/>
                <w:sz w:val="24"/>
                <w:szCs w:val="24"/>
              </w:rPr>
              <w:t>队伍整体素质高，专业主干课程主要由教授、副教授讲授；建立制度激励教师投入教学，教师科研项目能够有效转化为教学内容，提升教学成效。队伍年龄结构、职称结构、学缘结构合理，专兼职教师比例合理，有高水平、相对稳定的学科专业带头人和教学团队并有效推动本专业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师资培养</w:t>
            </w:r>
          </w:p>
        </w:tc>
        <w:tc>
          <w:tcPr>
            <w:tcW w:w="9919" w:type="dxa"/>
            <w:vAlign w:val="center"/>
          </w:tcPr>
          <w:p>
            <w:pPr>
              <w:rPr>
                <w:rFonts w:ascii="仿宋_GB2312" w:eastAsia="仿宋_GB2312"/>
                <w:sz w:val="24"/>
                <w:szCs w:val="24"/>
              </w:rPr>
            </w:pPr>
            <w:r>
              <w:rPr>
                <w:rFonts w:hint="eastAsia" w:ascii="仿宋_GB2312" w:eastAsia="仿宋_GB2312"/>
                <w:sz w:val="24"/>
                <w:szCs w:val="24"/>
              </w:rPr>
              <w:t>专业师资引进、培养措施完善；与企业联合开展师资培养、师资双向流动，“双师双能型”教师队伍建设成效显著，兼职教师引进渠道多样、措施便易，能有效利用社会资源提升教师专业水平和实践能力。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rPr>
              <w:t>教学条件（10分）</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教学设施</w:t>
            </w:r>
          </w:p>
        </w:tc>
        <w:tc>
          <w:tcPr>
            <w:tcW w:w="9919" w:type="dxa"/>
            <w:vAlign w:val="center"/>
          </w:tcPr>
          <w:p>
            <w:pPr>
              <w:rPr>
                <w:rFonts w:ascii="仿宋_GB2312" w:eastAsia="仿宋_GB2312"/>
                <w:sz w:val="24"/>
                <w:szCs w:val="24"/>
              </w:rPr>
            </w:pPr>
            <w:r>
              <w:rPr>
                <w:rFonts w:hint="eastAsia" w:ascii="仿宋_GB2312" w:eastAsia="仿宋_GB2312"/>
                <w:sz w:val="24"/>
                <w:szCs w:val="24"/>
              </w:rPr>
              <w:t>教学基本设施（含实验室、实习实训基地、图书资料、校园网络建设等）能满足培养高素质应用型人才的需要；充分开发、利用多种教学资源（如网上资源、电子教材等）。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经费投入</w:t>
            </w:r>
          </w:p>
        </w:tc>
        <w:tc>
          <w:tcPr>
            <w:tcW w:w="9919" w:type="dxa"/>
            <w:vAlign w:val="center"/>
          </w:tcPr>
          <w:p>
            <w:pPr>
              <w:rPr>
                <w:rFonts w:ascii="仿宋_GB2312" w:eastAsia="仿宋_GB2312"/>
                <w:sz w:val="24"/>
                <w:szCs w:val="24"/>
              </w:rPr>
            </w:pPr>
            <w:r>
              <w:rPr>
                <w:rFonts w:hint="eastAsia" w:ascii="仿宋_GB2312" w:eastAsia="仿宋_GB2312"/>
                <w:bCs/>
                <w:sz w:val="24"/>
                <w:szCs w:val="24"/>
              </w:rPr>
              <w:t>用于专业师资队伍建设、实验室建设、课程建设、教材建设、教学方法及现代教育技术等专项的建设经费充足。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rPr>
              <w:t>建设成果（40分）</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人才培养方案</w:t>
            </w:r>
          </w:p>
        </w:tc>
        <w:tc>
          <w:tcPr>
            <w:tcW w:w="9919" w:type="dxa"/>
            <w:vAlign w:val="center"/>
          </w:tcPr>
          <w:p>
            <w:pPr>
              <w:rPr>
                <w:rFonts w:ascii="仿宋_GB2312" w:eastAsia="仿宋_GB2312"/>
                <w:sz w:val="24"/>
                <w:szCs w:val="24"/>
              </w:rPr>
            </w:pPr>
            <w:r>
              <w:rPr>
                <w:rFonts w:hint="eastAsia" w:ascii="仿宋_GB2312" w:eastAsia="仿宋_GB2312"/>
                <w:sz w:val="24"/>
                <w:szCs w:val="24"/>
              </w:rPr>
              <w:t>探索产教融合、协同育人的人才培养模式，实现专业链与产业链、课程内容与职业标准、教学过程与生产过程对接；引入职业资格标准、产业行业标准修订人才培养方案；培养方案（计划）设计科学，具有可操作性，能很好地反映培养目标对知识、能力及素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6"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bCs/>
                <w:sz w:val="24"/>
                <w:szCs w:val="24"/>
              </w:rPr>
            </w:pPr>
            <w:r>
              <w:rPr>
                <w:rFonts w:hint="eastAsia" w:ascii="仿宋_GB2312" w:eastAsia="仿宋_GB2312"/>
                <w:bCs/>
                <w:sz w:val="24"/>
                <w:szCs w:val="24"/>
              </w:rPr>
              <w:t>课程建设</w:t>
            </w:r>
          </w:p>
        </w:tc>
        <w:tc>
          <w:tcPr>
            <w:tcW w:w="9919" w:type="dxa"/>
            <w:vAlign w:val="center"/>
          </w:tcPr>
          <w:p>
            <w:pPr>
              <w:rPr>
                <w:rFonts w:ascii="仿宋_GB2312" w:eastAsia="仿宋_GB2312"/>
                <w:sz w:val="24"/>
                <w:szCs w:val="24"/>
              </w:rPr>
            </w:pPr>
            <w:r>
              <w:rPr>
                <w:rFonts w:hint="eastAsia" w:ascii="仿宋_GB2312" w:eastAsia="仿宋_GB2312"/>
                <w:sz w:val="24"/>
                <w:szCs w:val="24"/>
              </w:rPr>
              <w:t>依据产业行业标准重构课程体系和教学内容；以社会经济发展和产业技术进步驱动课程改革，整合相关的理论课和实验实践课；推行基于实际应用的案例教学、项目教学等；将现代信息技术全面融入教学改革，通过校校合作、校政行企合作联合开发在线开放课程；将创新创业教育融入人才培养全过程，健全课程体系，建立学分转换制，强化实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bCs/>
                <w:sz w:val="24"/>
                <w:szCs w:val="24"/>
              </w:rPr>
            </w:pPr>
            <w:r>
              <w:rPr>
                <w:rFonts w:hint="eastAsia" w:ascii="仿宋_GB2312" w:eastAsia="仿宋_GB2312"/>
                <w:bCs/>
                <w:sz w:val="24"/>
                <w:szCs w:val="24"/>
              </w:rPr>
              <w:t>专业教学质量</w:t>
            </w:r>
          </w:p>
        </w:tc>
        <w:tc>
          <w:tcPr>
            <w:tcW w:w="9919" w:type="dxa"/>
            <w:vAlign w:val="center"/>
          </w:tcPr>
          <w:p>
            <w:pPr>
              <w:rPr>
                <w:rFonts w:ascii="仿宋_GB2312" w:eastAsia="仿宋_GB2312"/>
                <w:sz w:val="24"/>
                <w:szCs w:val="24"/>
              </w:rPr>
            </w:pPr>
            <w:r>
              <w:rPr>
                <w:rFonts w:hint="eastAsia" w:ascii="仿宋_GB2312" w:eastAsia="仿宋_GB2312"/>
                <w:sz w:val="24"/>
                <w:szCs w:val="24"/>
              </w:rPr>
              <w:t>教学质量监控体系科学、完善，运行有效，成效显著；</w:t>
            </w:r>
            <w:r>
              <w:rPr>
                <w:rFonts w:hint="eastAsia" w:ascii="仿宋_GB2312" w:eastAsia="仿宋_GB2312"/>
                <w:bCs/>
                <w:sz w:val="24"/>
                <w:szCs w:val="24"/>
              </w:rPr>
              <w:t>专业指导委员会能实质性、制度性参与人才培养全过程；</w:t>
            </w:r>
            <w:r>
              <w:rPr>
                <w:rFonts w:hint="eastAsia" w:ascii="仿宋_GB2312" w:eastAsia="仿宋_GB2312"/>
                <w:sz w:val="24"/>
                <w:szCs w:val="24"/>
              </w:rPr>
              <w:t>对毕业论文或毕业设计的质量有得力的监控措施且执行情况良好；</w:t>
            </w:r>
            <w:r>
              <w:rPr>
                <w:rFonts w:hint="eastAsia" w:ascii="仿宋_GB2312" w:eastAsia="仿宋_GB2312"/>
                <w:bCs/>
                <w:sz w:val="24"/>
                <w:szCs w:val="24"/>
              </w:rPr>
              <w:t>社会需求调研制度化。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bCs/>
                <w:sz w:val="24"/>
                <w:szCs w:val="24"/>
              </w:rPr>
            </w:pPr>
            <w:r>
              <w:rPr>
                <w:rFonts w:hint="eastAsia" w:ascii="仿宋_GB2312" w:eastAsia="仿宋_GB2312"/>
                <w:bCs/>
                <w:sz w:val="24"/>
                <w:szCs w:val="24"/>
              </w:rPr>
              <w:t>实践教学体系建设（文科部分专业本条可适当放宽）</w:t>
            </w:r>
          </w:p>
        </w:tc>
        <w:tc>
          <w:tcPr>
            <w:tcW w:w="9919" w:type="dxa"/>
            <w:vAlign w:val="center"/>
          </w:tcPr>
          <w:p>
            <w:pPr>
              <w:rPr>
                <w:rFonts w:ascii="仿宋_GB2312" w:eastAsia="仿宋_GB2312"/>
                <w:sz w:val="24"/>
                <w:szCs w:val="24"/>
              </w:rPr>
            </w:pPr>
            <w:r>
              <w:rPr>
                <w:rFonts w:hint="eastAsia" w:ascii="仿宋_GB2312" w:eastAsia="仿宋_GB2312"/>
                <w:sz w:val="24"/>
                <w:szCs w:val="24"/>
              </w:rPr>
              <w:t>完善实验、实训、实习等实践教学体系；加强实验、实训、实习环节，提高课时占比；建立实训实习质量保障机制；引进企业科研、生产基地，建立校企一体、产学研一体的大型实验实训实习中心；加大实验教学示范中心、校内外实践教学基地建设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rPr>
              <w:t>人才培养质量（20分）</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成效示范</w:t>
            </w:r>
          </w:p>
        </w:tc>
        <w:tc>
          <w:tcPr>
            <w:tcW w:w="9919" w:type="dxa"/>
            <w:vAlign w:val="center"/>
          </w:tcPr>
          <w:p>
            <w:pPr>
              <w:rPr>
                <w:rFonts w:ascii="仿宋_GB2312" w:eastAsia="仿宋_GB2312"/>
                <w:sz w:val="24"/>
                <w:szCs w:val="24"/>
              </w:rPr>
            </w:pPr>
            <w:r>
              <w:rPr>
                <w:rFonts w:hint="eastAsia" w:ascii="仿宋_GB2312" w:eastAsia="仿宋_GB2312"/>
                <w:bCs/>
                <w:sz w:val="24"/>
                <w:szCs w:val="24"/>
              </w:rPr>
              <w:t>学生创新精神和实践能力强；</w:t>
            </w:r>
            <w:r>
              <w:rPr>
                <w:rFonts w:hint="eastAsia" w:ascii="仿宋_GB2312" w:eastAsia="仿宋_GB2312"/>
                <w:sz w:val="24"/>
                <w:szCs w:val="24"/>
              </w:rPr>
              <w:t>毕业生的综合素质高，用人单位评价高；</w:t>
            </w:r>
            <w:r>
              <w:rPr>
                <w:rFonts w:hint="eastAsia" w:ascii="仿宋_GB2312" w:eastAsia="仿宋_GB2312"/>
                <w:bCs/>
                <w:sz w:val="24"/>
                <w:szCs w:val="24"/>
              </w:rPr>
              <w:t>专业建设成果示范辐射作用成效显著，在省内乃至国内有较大影响。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2799" w:type="dxa"/>
            <w:vMerge w:val="continue"/>
            <w:vAlign w:val="center"/>
          </w:tcPr>
          <w:p>
            <w:pPr>
              <w:rPr>
                <w:rFonts w:ascii="仿宋_GB2312" w:eastAsia="仿宋_GB2312"/>
                <w:bCs/>
                <w:sz w:val="24"/>
                <w:szCs w:val="24"/>
              </w:rPr>
            </w:pP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特色项目</w:t>
            </w:r>
          </w:p>
        </w:tc>
        <w:tc>
          <w:tcPr>
            <w:tcW w:w="9919" w:type="dxa"/>
            <w:vAlign w:val="center"/>
          </w:tcPr>
          <w:p>
            <w:pPr>
              <w:rPr>
                <w:rFonts w:ascii="仿宋_GB2312" w:eastAsia="仿宋_GB2312"/>
                <w:sz w:val="24"/>
                <w:szCs w:val="24"/>
              </w:rPr>
            </w:pPr>
            <w:r>
              <w:rPr>
                <w:rFonts w:hint="eastAsia" w:ascii="仿宋_GB2312" w:eastAsia="仿宋_GB2312"/>
                <w:sz w:val="24"/>
                <w:szCs w:val="24"/>
              </w:rPr>
              <w:t>在专业建设中形成优于其他同类专业的独特优质风貌，特色对优化人才培养过程,提高教学质量作用大，效果显著。</w:t>
            </w:r>
          </w:p>
        </w:tc>
      </w:tr>
    </w:tbl>
    <w:p>
      <w:pPr>
        <w:rPr>
          <w:rFonts w:ascii="仿宋_GB2312" w:eastAsia="仿宋_GB2312"/>
          <w:sz w:val="24"/>
          <w:szCs w:val="24"/>
        </w:rPr>
      </w:pPr>
    </w:p>
    <w:p>
      <w:pPr>
        <w:jc w:val="center"/>
        <w:rPr>
          <w:rFonts w:ascii="仿宋_GB2312" w:eastAsia="仿宋_GB2312"/>
          <w:b/>
          <w:sz w:val="30"/>
          <w:szCs w:val="30"/>
        </w:rPr>
      </w:pPr>
    </w:p>
    <w:p>
      <w:pPr>
        <w:pStyle w:val="2"/>
        <w:bidi w:val="0"/>
        <w:rPr>
          <w:rFonts w:ascii="仿宋_GB2312" w:eastAsia="仿宋_GB2312"/>
          <w:b/>
          <w:sz w:val="30"/>
          <w:szCs w:val="30"/>
        </w:rPr>
      </w:pPr>
      <w:bookmarkStart w:id="12" w:name="_Toc18352"/>
      <w:r>
        <w:rPr>
          <w:rFonts w:hint="eastAsia"/>
        </w:rPr>
        <w:t>广东省本科高校卓越人才培养计划项目验收指标体系（试行）</w:t>
      </w:r>
      <w:bookmarkEnd w:id="12"/>
    </w:p>
    <w:tbl>
      <w:tblPr>
        <w:tblStyle w:val="9"/>
        <w:tblW w:w="0" w:type="auto"/>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autofit"/>
        <w:tblCellMar>
          <w:top w:w="90" w:type="dxa"/>
          <w:left w:w="90" w:type="dxa"/>
          <w:bottom w:w="90" w:type="dxa"/>
          <w:right w:w="90" w:type="dxa"/>
        </w:tblCellMar>
      </w:tblPr>
      <w:tblGrid>
        <w:gridCol w:w="2737"/>
        <w:gridCol w:w="1224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12" w:hRule="atLeast"/>
          <w:tblCellSpacing w:w="7" w:type="dxa"/>
          <w:jc w:val="center"/>
        </w:trPr>
        <w:tc>
          <w:tcPr>
            <w:tcW w:w="2706" w:type="dxa"/>
            <w:vMerge w:val="restart"/>
            <w:shd w:val="clear" w:color="auto" w:fill="FFFFFF"/>
            <w:noWrap/>
            <w:vAlign w:val="center"/>
          </w:tcPr>
          <w:p>
            <w:pPr>
              <w:jc w:val="center"/>
              <w:rPr>
                <w:rFonts w:ascii="仿宋_GB2312" w:eastAsia="仿宋_GB2312"/>
                <w:b/>
                <w:sz w:val="24"/>
                <w:szCs w:val="24"/>
              </w:rPr>
            </w:pPr>
            <w:r>
              <w:rPr>
                <w:rFonts w:hint="eastAsia" w:ascii="仿宋_GB2312" w:eastAsia="仿宋_GB2312"/>
                <w:b/>
                <w:sz w:val="24"/>
                <w:szCs w:val="24"/>
              </w:rPr>
              <w:t>评价指标</w:t>
            </w:r>
          </w:p>
        </w:tc>
        <w:tc>
          <w:tcPr>
            <w:tcW w:w="12223" w:type="dxa"/>
            <w:vMerge w:val="restart"/>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312" w:hRule="atLeast"/>
          <w:tblCellSpacing w:w="7" w:type="dxa"/>
          <w:jc w:val="center"/>
        </w:trPr>
        <w:tc>
          <w:tcPr>
            <w:tcW w:w="2706" w:type="dxa"/>
            <w:vMerge w:val="continue"/>
            <w:shd w:val="clear" w:color="auto" w:fill="FFFFFF"/>
            <w:noWrap/>
            <w:vAlign w:val="center"/>
          </w:tcPr>
          <w:p>
            <w:pPr>
              <w:jc w:val="center"/>
              <w:rPr>
                <w:rFonts w:ascii="仿宋_GB2312" w:eastAsia="仿宋_GB2312"/>
                <w:b/>
                <w:sz w:val="24"/>
                <w:szCs w:val="24"/>
              </w:rPr>
            </w:pPr>
          </w:p>
        </w:tc>
        <w:tc>
          <w:tcPr>
            <w:tcW w:w="12223" w:type="dxa"/>
            <w:vMerge w:val="continue"/>
            <w:shd w:val="clear" w:color="auto" w:fill="FFFFFF"/>
            <w:vAlign w:val="center"/>
          </w:tcPr>
          <w:p>
            <w:pPr>
              <w:jc w:val="center"/>
              <w:rPr>
                <w:rFonts w:ascii="仿宋_GB2312" w:eastAsia="仿宋_GB2312"/>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182" w:hRule="atLeast"/>
          <w:tblCellSpacing w:w="7" w:type="dxa"/>
          <w:jc w:val="center"/>
        </w:trPr>
        <w:tc>
          <w:tcPr>
            <w:tcW w:w="2706" w:type="dxa"/>
            <w:shd w:val="clear" w:color="auto" w:fill="FFFFFF"/>
            <w:noWrap/>
            <w:vAlign w:val="center"/>
          </w:tcPr>
          <w:p>
            <w:pPr>
              <w:jc w:val="center"/>
              <w:rPr>
                <w:rFonts w:ascii="仿宋_GB2312" w:eastAsia="仿宋_GB2312"/>
                <w:sz w:val="24"/>
                <w:szCs w:val="24"/>
              </w:rPr>
            </w:pPr>
            <w:r>
              <w:rPr>
                <w:rFonts w:hint="eastAsia" w:ascii="仿宋_GB2312" w:eastAsia="仿宋_GB2312"/>
                <w:sz w:val="24"/>
                <w:szCs w:val="24"/>
              </w:rPr>
              <w:t>基本情况（10分）</w:t>
            </w:r>
          </w:p>
        </w:tc>
        <w:tc>
          <w:tcPr>
            <w:tcW w:w="12223"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基本完成了申报时预设的各项建设目标</w:t>
            </w:r>
            <w:r>
              <w:rPr>
                <w:rFonts w:hint="eastAsia" w:ascii="仿宋_GB2312" w:eastAsia="仿宋_GB2312" w:hAnsiTheme="minorEastAsia"/>
                <w:sz w:val="24"/>
                <w:szCs w:val="24"/>
              </w:rPr>
              <w:t>；</w:t>
            </w:r>
            <w:r>
              <w:rPr>
                <w:rFonts w:hint="eastAsia" w:ascii="仿宋_GB2312" w:eastAsia="仿宋_GB2312"/>
                <w:sz w:val="24"/>
                <w:szCs w:val="24"/>
              </w:rPr>
              <w:t>卓越计划项目实施以来，有利推动专业教学改革，并形成了一系列建设成果和特色富有创新和示范效应，在同类院校或专业中具有推广和应用价值。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52" w:hRule="atLeast"/>
          <w:tblCellSpacing w:w="7" w:type="dxa"/>
          <w:jc w:val="center"/>
        </w:trPr>
        <w:tc>
          <w:tcPr>
            <w:tcW w:w="2706" w:type="dxa"/>
            <w:shd w:val="clear" w:color="auto" w:fill="FFFFFF"/>
            <w:noWrap/>
            <w:vAlign w:val="center"/>
          </w:tcPr>
          <w:p>
            <w:pPr>
              <w:jc w:val="center"/>
              <w:rPr>
                <w:rFonts w:ascii="仿宋_GB2312" w:eastAsia="仿宋_GB2312"/>
                <w:sz w:val="24"/>
                <w:szCs w:val="24"/>
              </w:rPr>
            </w:pPr>
            <w:r>
              <w:rPr>
                <w:rFonts w:hint="eastAsia" w:ascii="仿宋_GB2312" w:eastAsia="仿宋_GB2312"/>
                <w:sz w:val="24"/>
                <w:szCs w:val="24"/>
              </w:rPr>
              <w:t>工作机制与保障（15分）</w:t>
            </w:r>
          </w:p>
        </w:tc>
        <w:tc>
          <w:tcPr>
            <w:tcW w:w="12223"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学校或学院有专门工作机构统筹推进卓越人才培养计划，协调解决重大改革事项</w:t>
            </w:r>
            <w:r>
              <w:rPr>
                <w:rFonts w:hint="eastAsia" w:ascii="仿宋_GB2312" w:eastAsia="仿宋_GB2312" w:hAnsiTheme="minorEastAsia"/>
                <w:sz w:val="24"/>
                <w:szCs w:val="24"/>
              </w:rPr>
              <w:t>；</w:t>
            </w:r>
            <w:r>
              <w:rPr>
                <w:rFonts w:hint="eastAsia" w:ascii="仿宋_GB2312" w:eastAsia="仿宋_GB2312"/>
                <w:sz w:val="24"/>
                <w:szCs w:val="24"/>
              </w:rPr>
              <w:t>在教育教学改革、师资配备、经费保障等方面学校有明确的鼓励和支持政策；</w:t>
            </w:r>
            <w:r>
              <w:rPr>
                <w:rFonts w:hint="eastAsia" w:ascii="仿宋_GB2312" w:eastAsia="仿宋_GB2312" w:hAnsiTheme="minorEastAsia"/>
                <w:sz w:val="24"/>
                <w:szCs w:val="24"/>
              </w:rPr>
              <w:t>企业和行业部门参与“卓越计划”的机制健全，</w:t>
            </w:r>
            <w:r>
              <w:rPr>
                <w:rFonts w:hint="eastAsia" w:ascii="仿宋_GB2312" w:eastAsia="仿宋_GB2312"/>
                <w:sz w:val="24"/>
                <w:szCs w:val="24"/>
              </w:rPr>
              <w:t>有相应的优惠激励政策和机制。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tblCellSpacing w:w="7" w:type="dxa"/>
          <w:jc w:val="center"/>
        </w:trPr>
        <w:tc>
          <w:tcPr>
            <w:tcW w:w="2706" w:type="dxa"/>
            <w:shd w:val="clear" w:color="auto" w:fill="FFFFFF"/>
            <w:noWrap/>
            <w:vAlign w:val="center"/>
          </w:tcPr>
          <w:p>
            <w:pPr>
              <w:jc w:val="center"/>
              <w:rPr>
                <w:rFonts w:ascii="仿宋_GB2312" w:eastAsia="仿宋_GB2312"/>
                <w:sz w:val="24"/>
                <w:szCs w:val="24"/>
              </w:rPr>
            </w:pPr>
            <w:r>
              <w:rPr>
                <w:rFonts w:hint="eastAsia" w:ascii="仿宋_GB2312" w:eastAsia="仿宋_GB2312"/>
                <w:sz w:val="24"/>
                <w:szCs w:val="24"/>
              </w:rPr>
              <w:t>人才培养（15分）</w:t>
            </w:r>
          </w:p>
        </w:tc>
        <w:tc>
          <w:tcPr>
            <w:tcW w:w="12223"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根据经济社会发展需要，结合学校的办学定位、办学特色，明确卓越人才培养目标，定位科学合理</w:t>
            </w:r>
            <w:r>
              <w:rPr>
                <w:rFonts w:hint="eastAsia" w:ascii="仿宋_GB2312" w:eastAsia="仿宋_GB2312" w:hAnsiTheme="minorEastAsia"/>
                <w:sz w:val="24"/>
                <w:szCs w:val="24"/>
              </w:rPr>
              <w:t>；</w:t>
            </w:r>
            <w:r>
              <w:rPr>
                <w:rFonts w:hint="eastAsia" w:ascii="仿宋_GB2312" w:eastAsia="仿宋_GB2312"/>
                <w:sz w:val="24"/>
                <w:szCs w:val="24"/>
              </w:rPr>
              <w:t>针对卓越人才培养目标，设计了较为完整、契合度高的人才培养方案，创新点突出，特色鲜明，有明确、可行性强的培养路径</w:t>
            </w:r>
            <w:r>
              <w:rPr>
                <w:rFonts w:hint="eastAsia" w:ascii="仿宋_GB2312" w:eastAsia="仿宋_GB2312" w:hAnsiTheme="minorEastAsia"/>
                <w:sz w:val="24"/>
                <w:szCs w:val="24"/>
              </w:rPr>
              <w:t>；创立高校与行业、企业联合培养人才新机制，共同实施培养过程；扩大对外开放，培养具备国际视野的卓越人才。</w:t>
            </w:r>
            <w:r>
              <w:rPr>
                <w:rFonts w:hint="eastAsia" w:ascii="仿宋_GB2312" w:eastAsia="仿宋_GB2312"/>
                <w:sz w:val="24"/>
                <w:szCs w:val="24"/>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76" w:hRule="atLeast"/>
          <w:tblCellSpacing w:w="7" w:type="dxa"/>
          <w:jc w:val="center"/>
        </w:trPr>
        <w:tc>
          <w:tcPr>
            <w:tcW w:w="2706"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教学改革（30分）</w:t>
            </w:r>
          </w:p>
        </w:tc>
        <w:tc>
          <w:tcPr>
            <w:tcW w:w="12223" w:type="dxa"/>
            <w:shd w:val="clear" w:color="auto" w:fill="FFFFFF"/>
            <w:vAlign w:val="center"/>
          </w:tcPr>
          <w:p>
            <w:pPr>
              <w:rPr>
                <w:rFonts w:ascii="仿宋_GB2312" w:eastAsia="仿宋_GB2312"/>
                <w:sz w:val="24"/>
                <w:szCs w:val="24"/>
              </w:rPr>
            </w:pPr>
            <w:r>
              <w:rPr>
                <w:rFonts w:hint="eastAsia" w:ascii="仿宋_GB2312" w:eastAsia="仿宋_GB2312"/>
                <w:sz w:val="24"/>
                <w:szCs w:val="24"/>
              </w:rPr>
              <w:t>对人才培养模式进行综合改革，强化专业集成；教育教学理念具有较强的创新性，形成了有特色的人才培养研究成果</w:t>
            </w:r>
            <w:r>
              <w:rPr>
                <w:rFonts w:hint="eastAsia" w:ascii="仿宋_GB2312" w:eastAsia="仿宋_GB2312" w:hAnsiTheme="minorEastAsia"/>
                <w:sz w:val="24"/>
                <w:szCs w:val="24"/>
              </w:rPr>
              <w:t>；</w:t>
            </w:r>
            <w:r>
              <w:rPr>
                <w:rFonts w:hint="eastAsia" w:ascii="仿宋_GB2312" w:eastAsia="仿宋_GB2312"/>
                <w:sz w:val="24"/>
                <w:szCs w:val="24"/>
              </w:rPr>
              <w:t>教学内容与课程体系改革紧密结合行业发展需求，符合卓越人才培养的要求，大力加强学生实践能力，创新精神和创业能力的培养</w:t>
            </w:r>
            <w:r>
              <w:rPr>
                <w:rFonts w:hint="eastAsia" w:ascii="仿宋_GB2312" w:eastAsia="仿宋_GB2312" w:hAnsiTheme="minorEastAsia"/>
                <w:sz w:val="24"/>
                <w:szCs w:val="24"/>
              </w:rPr>
              <w:t>；</w:t>
            </w:r>
            <w:r>
              <w:rPr>
                <w:rFonts w:hint="eastAsia" w:ascii="仿宋_GB2312" w:eastAsia="仿宋_GB2312"/>
                <w:sz w:val="24"/>
                <w:szCs w:val="24"/>
              </w:rPr>
              <w:t>开展互动式、研究型教学，注重学生学习能力和综合素质考核、实行多元考核方式，主动将科研成果带入专业教学</w:t>
            </w:r>
            <w:r>
              <w:rPr>
                <w:rFonts w:hint="eastAsia" w:ascii="仿宋_GB2312" w:eastAsia="仿宋_GB2312" w:hAnsiTheme="minorEastAsia"/>
                <w:sz w:val="24"/>
                <w:szCs w:val="24"/>
              </w:rPr>
              <w:t>；</w:t>
            </w:r>
            <w:r>
              <w:rPr>
                <w:rFonts w:hint="eastAsia" w:ascii="仿宋_GB2312" w:eastAsia="仿宋_GB2312"/>
                <w:sz w:val="24"/>
                <w:szCs w:val="24"/>
              </w:rPr>
              <w:t>积极开展实践教学，体系完善，依托专业建设有省级以上校内或校外实践教学基地。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73" w:hRule="atLeast"/>
          <w:tblCellSpacing w:w="7" w:type="dxa"/>
          <w:jc w:val="center"/>
        </w:trPr>
        <w:tc>
          <w:tcPr>
            <w:tcW w:w="2706"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教师队伍建设（15分）</w:t>
            </w:r>
          </w:p>
        </w:tc>
        <w:tc>
          <w:tcPr>
            <w:tcW w:w="12223" w:type="dxa"/>
            <w:shd w:val="clear" w:color="auto" w:fill="auto"/>
            <w:vAlign w:val="center"/>
          </w:tcPr>
          <w:p>
            <w:pPr>
              <w:rPr>
                <w:rFonts w:ascii="仿宋_GB2312" w:eastAsia="仿宋_GB2312"/>
                <w:sz w:val="24"/>
                <w:szCs w:val="24"/>
              </w:rPr>
            </w:pPr>
            <w:r>
              <w:rPr>
                <w:rFonts w:hint="eastAsia" w:ascii="仿宋_GB2312" w:hAnsi="Verdana" w:eastAsia="仿宋_GB2312"/>
                <w:color w:val="000000"/>
                <w:sz w:val="24"/>
                <w:szCs w:val="24"/>
                <w:shd w:val="clear" w:color="auto" w:fill="FFFFFF"/>
              </w:rPr>
              <w:t>依据自身学科人才培养特点展开了相应的教师队伍建设，取得成效，初步形成一支具有较高理论水平和实践经验的师资队伍；</w:t>
            </w:r>
            <w:r>
              <w:rPr>
                <w:rFonts w:hint="eastAsia" w:ascii="仿宋_GB2312" w:eastAsia="仿宋_GB2312" w:hAnsiTheme="minorEastAsia"/>
                <w:color w:val="000000"/>
                <w:sz w:val="24"/>
                <w:szCs w:val="24"/>
                <w:shd w:val="clear" w:color="auto" w:fill="FFFFFF"/>
              </w:rPr>
              <w:t>具备一直有一定行业经历的高水平专、兼职教师队伍；</w:t>
            </w:r>
            <w:r>
              <w:rPr>
                <w:rFonts w:hint="eastAsia" w:ascii="仿宋_GB2312" w:eastAsia="仿宋_GB2312"/>
                <w:sz w:val="24"/>
                <w:szCs w:val="24"/>
              </w:rPr>
              <w:t>师资队伍学历、年龄、知识结构合理，师德高尚，业务素质精良，专职教师的主要精力投入教学工作。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10" w:hRule="atLeast"/>
          <w:tblCellSpacing w:w="7" w:type="dxa"/>
          <w:jc w:val="center"/>
        </w:trPr>
        <w:tc>
          <w:tcPr>
            <w:tcW w:w="2706"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人才培养效果（15分）</w:t>
            </w:r>
          </w:p>
        </w:tc>
        <w:tc>
          <w:tcPr>
            <w:tcW w:w="12223" w:type="dxa"/>
            <w:shd w:val="clear" w:color="auto" w:fill="auto"/>
            <w:vAlign w:val="center"/>
          </w:tcPr>
          <w:p>
            <w:pPr>
              <w:rPr>
                <w:rFonts w:ascii="仿宋_GB2312" w:eastAsia="仿宋_GB2312"/>
                <w:sz w:val="24"/>
                <w:szCs w:val="24"/>
              </w:rPr>
            </w:pPr>
            <w:r>
              <w:rPr>
                <w:rFonts w:hint="eastAsia" w:ascii="仿宋_GB2312" w:eastAsia="仿宋_GB2312"/>
                <w:sz w:val="24"/>
                <w:szCs w:val="24"/>
              </w:rPr>
              <w:t>实施“卓越计划”以来，学生实践能力、创新能力和综合素质提升，发明专利和发表高水平论文或其他创新成果较多</w:t>
            </w:r>
            <w:r>
              <w:rPr>
                <w:rFonts w:hint="eastAsia" w:ascii="仿宋_GB2312" w:eastAsia="仿宋_GB2312" w:hAnsiTheme="minorEastAsia"/>
                <w:sz w:val="24"/>
                <w:szCs w:val="24"/>
              </w:rPr>
              <w:t>；</w:t>
            </w:r>
            <w:r>
              <w:rPr>
                <w:rFonts w:hint="eastAsia" w:ascii="仿宋_GB2312" w:eastAsia="仿宋_GB2312"/>
                <w:sz w:val="24"/>
                <w:szCs w:val="24"/>
              </w:rPr>
              <w:t>发现、分析和解决问题能力提高</w:t>
            </w:r>
            <w:r>
              <w:rPr>
                <w:rFonts w:hint="eastAsia" w:ascii="仿宋_GB2312" w:eastAsia="仿宋_GB2312" w:hAnsiTheme="minorEastAsia"/>
                <w:sz w:val="24"/>
                <w:szCs w:val="24"/>
              </w:rPr>
              <w:t>；</w:t>
            </w:r>
            <w:r>
              <w:rPr>
                <w:rFonts w:hint="eastAsia" w:ascii="仿宋_GB2312" w:eastAsia="仿宋_GB2312"/>
                <w:sz w:val="24"/>
                <w:szCs w:val="24"/>
              </w:rPr>
              <w:t>在校期间参加省级及以上各类竞赛获奖较多</w:t>
            </w:r>
            <w:r>
              <w:rPr>
                <w:rFonts w:hint="eastAsia" w:ascii="仿宋_GB2312" w:eastAsia="仿宋_GB2312" w:hAnsiTheme="minorEastAsia"/>
                <w:sz w:val="24"/>
                <w:szCs w:val="24"/>
              </w:rPr>
              <w:t>；</w:t>
            </w:r>
            <w:r>
              <w:rPr>
                <w:rFonts w:hint="eastAsia" w:ascii="仿宋_GB2312" w:eastAsia="仿宋_GB2312"/>
                <w:sz w:val="24"/>
                <w:szCs w:val="24"/>
              </w:rPr>
              <w:t>毕业生就业质量高，广泛受到用人单位好评。</w:t>
            </w:r>
          </w:p>
        </w:tc>
      </w:tr>
    </w:tbl>
    <w:p>
      <w:pPr>
        <w:jc w:val="center"/>
        <w:rPr>
          <w:rFonts w:ascii="仿宋_GB2312" w:hAnsi="黑体" w:eastAsia="仿宋_GB2312"/>
          <w:sz w:val="24"/>
          <w:szCs w:val="24"/>
        </w:rPr>
      </w:pPr>
    </w:p>
    <w:p>
      <w:pPr>
        <w:rPr>
          <w:rFonts w:ascii="仿宋_GB2312" w:eastAsia="仿宋_GB2312"/>
          <w:sz w:val="24"/>
          <w:szCs w:val="24"/>
        </w:rPr>
      </w:pPr>
    </w:p>
    <w:p>
      <w:pPr>
        <w:pStyle w:val="2"/>
        <w:bidi w:val="0"/>
      </w:pPr>
      <w:bookmarkStart w:id="13" w:name="_Toc20445"/>
      <w:r>
        <w:rPr>
          <w:rFonts w:hint="eastAsia"/>
        </w:rPr>
        <w:t>广东省本科高校试点学院验收指标体系（试行）</w:t>
      </w:r>
      <w:bookmarkEnd w:id="13"/>
    </w:p>
    <w:tbl>
      <w:tblPr>
        <w:tblStyle w:val="9"/>
        <w:tblW w:w="15211" w:type="dxa"/>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autofit"/>
        <w:tblCellMar>
          <w:top w:w="90" w:type="dxa"/>
          <w:left w:w="90" w:type="dxa"/>
          <w:bottom w:w="90" w:type="dxa"/>
          <w:right w:w="90" w:type="dxa"/>
        </w:tblCellMar>
      </w:tblPr>
      <w:tblGrid>
        <w:gridCol w:w="3041"/>
        <w:gridCol w:w="121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12" w:hRule="atLeast"/>
          <w:tblCellSpacing w:w="7" w:type="dxa"/>
          <w:jc w:val="center"/>
        </w:trPr>
        <w:tc>
          <w:tcPr>
            <w:tcW w:w="3010" w:type="dxa"/>
            <w:vMerge w:val="restart"/>
            <w:shd w:val="clear" w:color="auto" w:fill="FFFFFF"/>
            <w:noWrap/>
            <w:vAlign w:val="center"/>
          </w:tcPr>
          <w:p>
            <w:pPr>
              <w:jc w:val="center"/>
              <w:rPr>
                <w:rFonts w:ascii="仿宋_GB2312" w:eastAsia="仿宋_GB2312"/>
                <w:b/>
                <w:sz w:val="24"/>
                <w:szCs w:val="24"/>
              </w:rPr>
            </w:pPr>
            <w:r>
              <w:rPr>
                <w:rFonts w:hint="eastAsia" w:ascii="仿宋_GB2312" w:eastAsia="仿宋_GB2312"/>
                <w:b/>
                <w:sz w:val="24"/>
                <w:szCs w:val="24"/>
              </w:rPr>
              <w:t>评价指标</w:t>
            </w:r>
          </w:p>
        </w:tc>
        <w:tc>
          <w:tcPr>
            <w:tcW w:w="12159" w:type="dxa"/>
            <w:vMerge w:val="restart"/>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312" w:hRule="atLeast"/>
          <w:tblCellSpacing w:w="7" w:type="dxa"/>
          <w:jc w:val="center"/>
        </w:trPr>
        <w:tc>
          <w:tcPr>
            <w:tcW w:w="3010" w:type="dxa"/>
            <w:vMerge w:val="continue"/>
            <w:shd w:val="clear" w:color="auto" w:fill="FFFFFF"/>
            <w:noWrap/>
            <w:vAlign w:val="center"/>
          </w:tcPr>
          <w:p>
            <w:pPr>
              <w:jc w:val="center"/>
              <w:rPr>
                <w:rFonts w:ascii="仿宋_GB2312" w:eastAsia="仿宋_GB2312"/>
                <w:b/>
                <w:sz w:val="24"/>
                <w:szCs w:val="24"/>
              </w:rPr>
            </w:pPr>
          </w:p>
        </w:tc>
        <w:tc>
          <w:tcPr>
            <w:tcW w:w="12159" w:type="dxa"/>
            <w:vMerge w:val="continue"/>
            <w:shd w:val="clear" w:color="auto" w:fill="FFFFFF"/>
            <w:vAlign w:val="center"/>
          </w:tcPr>
          <w:p>
            <w:pPr>
              <w:jc w:val="center"/>
              <w:rPr>
                <w:rFonts w:ascii="仿宋_GB2312" w:eastAsia="仿宋_GB2312"/>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833" w:hRule="atLeast"/>
          <w:tblCellSpacing w:w="7" w:type="dxa"/>
          <w:jc w:val="center"/>
        </w:trPr>
        <w:tc>
          <w:tcPr>
            <w:tcW w:w="3010" w:type="dxa"/>
            <w:shd w:val="clear" w:color="auto" w:fill="FFFFFF"/>
            <w:noWrap/>
            <w:vAlign w:val="center"/>
          </w:tcPr>
          <w:p>
            <w:pPr>
              <w:jc w:val="center"/>
              <w:rPr>
                <w:rFonts w:ascii="仿宋_GB2312" w:eastAsia="仿宋_GB2312"/>
                <w:sz w:val="24"/>
                <w:szCs w:val="24"/>
              </w:rPr>
            </w:pPr>
            <w:r>
              <w:rPr>
                <w:rFonts w:hint="eastAsia" w:ascii="仿宋_GB2312" w:eastAsia="仿宋_GB2312"/>
                <w:sz w:val="24"/>
                <w:szCs w:val="24"/>
              </w:rPr>
              <w:t>学院基本条件建设（15分）</w:t>
            </w:r>
          </w:p>
        </w:tc>
        <w:tc>
          <w:tcPr>
            <w:tcW w:w="12159" w:type="dxa"/>
            <w:shd w:val="clear" w:color="auto" w:fill="FFFFFF"/>
            <w:vAlign w:val="center"/>
          </w:tcPr>
          <w:p>
            <w:pPr>
              <w:jc w:val="left"/>
              <w:rPr>
                <w:rFonts w:ascii="仿宋_GB2312" w:eastAsia="仿宋_GB2312"/>
                <w:sz w:val="24"/>
                <w:szCs w:val="24"/>
              </w:rPr>
            </w:pPr>
            <w:r>
              <w:rPr>
                <w:rFonts w:hint="eastAsia" w:ascii="仿宋_GB2312" w:eastAsia="仿宋_GB2312" w:hAnsiTheme="minorEastAsia"/>
                <w:sz w:val="24"/>
                <w:szCs w:val="24"/>
              </w:rPr>
              <w:t>学院的仪器设备、教学场地和设施、实验条件、实践教学条件、教学投入，在试点学院项目立项后有较大改善。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33" w:hRule="atLeast"/>
          <w:tblCellSpacing w:w="7" w:type="dxa"/>
          <w:jc w:val="center"/>
        </w:trPr>
        <w:tc>
          <w:tcPr>
            <w:tcW w:w="3010" w:type="dxa"/>
            <w:shd w:val="clear" w:color="auto" w:fill="FFFFFF"/>
            <w:noWrap/>
            <w:vAlign w:val="center"/>
          </w:tcPr>
          <w:p>
            <w:pPr>
              <w:jc w:val="center"/>
              <w:rPr>
                <w:rFonts w:ascii="仿宋_GB2312" w:eastAsia="仿宋_GB2312"/>
                <w:sz w:val="24"/>
                <w:szCs w:val="24"/>
              </w:rPr>
            </w:pPr>
            <w:r>
              <w:rPr>
                <w:rFonts w:hint="eastAsia" w:ascii="仿宋_GB2312" w:eastAsia="仿宋_GB2312"/>
                <w:sz w:val="24"/>
                <w:szCs w:val="24"/>
              </w:rPr>
              <w:t>管理体制（15分）</w:t>
            </w:r>
          </w:p>
        </w:tc>
        <w:tc>
          <w:tcPr>
            <w:tcW w:w="12159"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建立院长负责、全院参与的试点学院建设机制；落实教学和科研自主权；学校赋予的资源配置权限可以满足改革需要；学校的支持和保障政策有力。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13" w:hRule="atLeast"/>
          <w:tblCellSpacing w:w="7" w:type="dxa"/>
          <w:jc w:val="center"/>
        </w:trPr>
        <w:tc>
          <w:tcPr>
            <w:tcW w:w="3010"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招生改革（15分）</w:t>
            </w:r>
          </w:p>
        </w:tc>
        <w:tc>
          <w:tcPr>
            <w:tcW w:w="12159" w:type="dxa"/>
            <w:shd w:val="clear" w:color="auto" w:fill="FFFFFF"/>
            <w:vAlign w:val="center"/>
          </w:tcPr>
          <w:p>
            <w:pPr>
              <w:rPr>
                <w:rFonts w:ascii="仿宋_GB2312" w:eastAsia="仿宋_GB2312"/>
                <w:sz w:val="24"/>
                <w:szCs w:val="24"/>
              </w:rPr>
            </w:pPr>
            <w:r>
              <w:rPr>
                <w:rFonts w:hint="eastAsia" w:ascii="仿宋_GB2312" w:eastAsia="仿宋_GB2312" w:hAnsiTheme="minorEastAsia"/>
                <w:sz w:val="24"/>
                <w:szCs w:val="24"/>
              </w:rPr>
              <w:t>招生计划制定方面在校内拥有较大自主权限；生源招录方式多样；</w:t>
            </w:r>
            <w:r>
              <w:rPr>
                <w:rFonts w:hint="eastAsia" w:ascii="仿宋_GB2312" w:eastAsia="仿宋_GB2312"/>
                <w:sz w:val="24"/>
                <w:szCs w:val="24"/>
              </w:rPr>
              <w:t>学生转专业、转院机制灵活、有利于学生自我发展。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19" w:hRule="atLeast"/>
          <w:tblCellSpacing w:w="7" w:type="dxa"/>
          <w:jc w:val="center"/>
        </w:trPr>
        <w:tc>
          <w:tcPr>
            <w:tcW w:w="3010"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教学改革（25分）</w:t>
            </w:r>
          </w:p>
        </w:tc>
        <w:tc>
          <w:tcPr>
            <w:tcW w:w="12159" w:type="dxa"/>
            <w:shd w:val="clear" w:color="auto" w:fill="FFFFFF"/>
            <w:vAlign w:val="center"/>
          </w:tcPr>
          <w:p>
            <w:pPr>
              <w:rPr>
                <w:rFonts w:ascii="仿宋_GB2312" w:eastAsia="仿宋_GB2312"/>
                <w:sz w:val="24"/>
                <w:szCs w:val="24"/>
              </w:rPr>
            </w:pPr>
            <w:r>
              <w:rPr>
                <w:rFonts w:hint="eastAsia" w:ascii="仿宋_GB2312" w:eastAsia="仿宋_GB2312" w:hAnsiTheme="minorEastAsia"/>
                <w:sz w:val="24"/>
                <w:szCs w:val="24"/>
              </w:rPr>
              <w:t>人才培养方案设计能够体现以学生为本，突出学生创新、实践和应用能力导向；教学内容在试点学院立项后进行改革，能够有效对接区域经济社会发展需求；</w:t>
            </w:r>
            <w:r>
              <w:rPr>
                <w:rFonts w:hint="eastAsia" w:ascii="仿宋_GB2312" w:eastAsia="仿宋_GB2312"/>
                <w:sz w:val="24"/>
                <w:szCs w:val="24"/>
              </w:rPr>
              <w:t>在院内广泛推行小班教学，普遍实行启发式、研究式教学或团队学习，激发学生积极性和主动性；专业核心课程建设进程加快，课程水平较高、课程资源丰富多样；实践实验教学体系完备，实践教学有明显成效；</w:t>
            </w:r>
            <w:r>
              <w:rPr>
                <w:rFonts w:hint="eastAsia" w:ascii="仿宋_GB2312" w:eastAsia="仿宋_GB2312" w:hAnsiTheme="minorEastAsia"/>
                <w:sz w:val="24"/>
                <w:szCs w:val="24"/>
              </w:rPr>
              <w:t>科研和教学能够形成有效结合，二者能够良性互动，院内有较多科研成果转化为教学内容；对学分制改革进行了积极探索和有益尝试，教学信息化水平较高。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159" w:hRule="atLeast"/>
          <w:tblCellSpacing w:w="7" w:type="dxa"/>
          <w:jc w:val="center"/>
        </w:trPr>
        <w:tc>
          <w:tcPr>
            <w:tcW w:w="3010"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师资管理（15分）</w:t>
            </w:r>
          </w:p>
        </w:tc>
        <w:tc>
          <w:tcPr>
            <w:tcW w:w="12159" w:type="dxa"/>
            <w:shd w:val="clear" w:color="auto" w:fill="auto"/>
            <w:vAlign w:val="center"/>
          </w:tcPr>
          <w:p>
            <w:pPr>
              <w:rPr>
                <w:rFonts w:ascii="仿宋_GB2312" w:eastAsia="仿宋_GB2312"/>
                <w:sz w:val="24"/>
                <w:szCs w:val="24"/>
              </w:rPr>
            </w:pPr>
            <w:r>
              <w:rPr>
                <w:rFonts w:hint="eastAsia" w:ascii="仿宋_GB2312" w:eastAsia="仿宋_GB2312"/>
                <w:sz w:val="24"/>
                <w:szCs w:val="24"/>
              </w:rPr>
              <w:t>聘任方式多样化，师资引进和培育力度较大；人事管理与退出方面打破了“铁饭碗”，建立了人才能进能出的流动机制；合理配置教师资源，优化教师队伍结构，加强对师资队伍的多元化、个性化、差别化、人性化管理；优化薪酬结构及绩效考核方案，实行能上能下、轮岗与内控相结合的运转模式，调动教职员的工作积极性，激发教师和管理人员队伍建设的生机活力</w:t>
            </w:r>
            <w:r>
              <w:rPr>
                <w:rFonts w:hint="eastAsia" w:ascii="仿宋_GB2312" w:eastAsia="仿宋_GB2312" w:hAnsiTheme="minorEastAsia"/>
                <w:sz w:val="24"/>
                <w:szCs w:val="24"/>
              </w:rPr>
              <w:t>；</w:t>
            </w:r>
            <w:r>
              <w:rPr>
                <w:rFonts w:hint="eastAsia" w:ascii="仿宋_GB2312" w:eastAsia="仿宋_GB2312"/>
                <w:sz w:val="24"/>
                <w:szCs w:val="24"/>
              </w:rPr>
              <w:t>有专门制度保障和强化教学的中心地位，避免重科研轻教学倾向，高级职称教师为本科生授课比例高、课时多。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159" w:hRule="atLeast"/>
          <w:tblCellSpacing w:w="7" w:type="dxa"/>
          <w:jc w:val="center"/>
        </w:trPr>
        <w:tc>
          <w:tcPr>
            <w:tcW w:w="3010"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人才培养效果（15分）</w:t>
            </w:r>
          </w:p>
        </w:tc>
        <w:tc>
          <w:tcPr>
            <w:tcW w:w="12159" w:type="dxa"/>
            <w:shd w:val="clear" w:color="auto" w:fill="auto"/>
            <w:vAlign w:val="center"/>
          </w:tcPr>
          <w:p>
            <w:pPr>
              <w:rPr>
                <w:rFonts w:ascii="仿宋_GB2312" w:eastAsia="仿宋_GB2312"/>
                <w:sz w:val="24"/>
                <w:szCs w:val="24"/>
              </w:rPr>
            </w:pPr>
            <w:r>
              <w:rPr>
                <w:rFonts w:hint="eastAsia" w:ascii="仿宋_GB2312" w:eastAsia="仿宋_GB2312"/>
                <w:sz w:val="24"/>
                <w:szCs w:val="24"/>
              </w:rPr>
              <w:t>试点学院项目建设以来，学生实践能力、创新能力和综合素质提升，发明专利和发表高水平论文或其他创新成果较多；发现、分析和解决问题能力，创新创业能力提高</w:t>
            </w:r>
            <w:r>
              <w:rPr>
                <w:rFonts w:hint="eastAsia" w:ascii="仿宋_GB2312" w:eastAsia="仿宋_GB2312" w:hAnsiTheme="minorEastAsia"/>
                <w:sz w:val="24"/>
                <w:szCs w:val="24"/>
              </w:rPr>
              <w:t>；</w:t>
            </w:r>
            <w:r>
              <w:rPr>
                <w:rFonts w:hint="eastAsia" w:ascii="仿宋_GB2312" w:eastAsia="仿宋_GB2312"/>
                <w:sz w:val="24"/>
                <w:szCs w:val="24"/>
              </w:rPr>
              <w:t>在校期间参加省级及以上各类竞赛获奖较多</w:t>
            </w:r>
            <w:r>
              <w:rPr>
                <w:rFonts w:hint="eastAsia" w:ascii="仿宋_GB2312" w:eastAsia="仿宋_GB2312" w:hAnsiTheme="minorEastAsia"/>
                <w:sz w:val="24"/>
                <w:szCs w:val="24"/>
              </w:rPr>
              <w:t>；</w:t>
            </w:r>
            <w:r>
              <w:rPr>
                <w:rFonts w:hint="eastAsia" w:ascii="仿宋_GB2312" w:eastAsia="仿宋_GB2312"/>
                <w:sz w:val="24"/>
                <w:szCs w:val="24"/>
              </w:rPr>
              <w:t>毕业生就业质量高，广泛受到用人单位好评。</w:t>
            </w:r>
          </w:p>
        </w:tc>
      </w:tr>
    </w:tbl>
    <w:p>
      <w:pPr>
        <w:rPr>
          <w:rFonts w:ascii="仿宋_GB2312" w:eastAsia="仿宋_GB2312"/>
          <w:sz w:val="24"/>
          <w:szCs w:val="24"/>
        </w:rPr>
      </w:pPr>
    </w:p>
    <w:p>
      <w:pPr>
        <w:rPr>
          <w:rFonts w:hint="eastAsia"/>
          <w:lang w:val="en-US" w:eastAsia="zh-CN"/>
        </w:rPr>
      </w:pPr>
      <w:bookmarkStart w:id="14" w:name="_Toc11179"/>
      <w:r>
        <w:rPr>
          <w:rFonts w:hint="eastAsia"/>
          <w:lang w:val="en-US" w:eastAsia="zh-CN"/>
        </w:rPr>
        <w:br w:type="page"/>
      </w:r>
    </w:p>
    <w:p>
      <w:pPr>
        <w:pStyle w:val="2"/>
        <w:bidi w:val="0"/>
      </w:pPr>
      <w:r>
        <w:rPr>
          <w:rFonts w:hint="eastAsia"/>
          <w:lang w:val="en-US" w:eastAsia="zh-CN"/>
        </w:rPr>
        <w:t>广东省教师教学发展中心验收指标体系</w:t>
      </w:r>
      <w:bookmarkEnd w:id="14"/>
    </w:p>
    <w:tbl>
      <w:tblPr>
        <w:tblStyle w:val="9"/>
        <w:tblW w:w="14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3984"/>
        <w:gridCol w:w="1333"/>
        <w:gridCol w:w="7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90" w:type="dxa"/>
            <w:shd w:val="clear" w:color="auto" w:fill="auto"/>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一级指标</w:t>
            </w:r>
          </w:p>
        </w:tc>
        <w:tc>
          <w:tcPr>
            <w:tcW w:w="3984" w:type="dxa"/>
            <w:shd w:val="clear" w:color="auto" w:fill="auto"/>
            <w:vAlign w:val="center"/>
          </w:tcPr>
          <w:p>
            <w:pPr>
              <w:ind w:right="84" w:rightChars="4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二级指标</w:t>
            </w:r>
          </w:p>
        </w:tc>
        <w:tc>
          <w:tcPr>
            <w:tcW w:w="1333" w:type="dxa"/>
            <w:shd w:val="clear" w:color="auto" w:fill="auto"/>
            <w:vAlign w:val="center"/>
          </w:tcPr>
          <w:p>
            <w:pPr>
              <w:ind w:right="84" w:rightChars="4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分值</w:t>
            </w:r>
          </w:p>
        </w:tc>
        <w:tc>
          <w:tcPr>
            <w:tcW w:w="7071" w:type="dxa"/>
            <w:shd w:val="clear" w:color="auto" w:fill="auto"/>
            <w:vAlign w:val="center"/>
          </w:tcPr>
          <w:p>
            <w:pPr>
              <w:ind w:right="84" w:rightChars="4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390" w:type="dxa"/>
            <w:vMerge w:val="restart"/>
            <w:shd w:val="clear" w:color="auto" w:fill="auto"/>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1.机构编制（20分）</w:t>
            </w:r>
          </w:p>
        </w:tc>
        <w:tc>
          <w:tcPr>
            <w:tcW w:w="3984" w:type="dxa"/>
            <w:shd w:val="clear" w:color="auto" w:fill="auto"/>
            <w:vAlign w:val="center"/>
          </w:tcPr>
          <w:p>
            <w:pPr>
              <w:ind w:right="84" w:rightChars="4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1.1专门机构</w:t>
            </w:r>
          </w:p>
        </w:tc>
        <w:tc>
          <w:tcPr>
            <w:tcW w:w="1333" w:type="dxa"/>
            <w:shd w:val="clear" w:color="auto" w:fill="auto"/>
            <w:vAlign w:val="center"/>
          </w:tcPr>
          <w:p>
            <w:pPr>
              <w:ind w:right="84" w:rightChars="4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707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参考登记表和佐证材料综合判断。成立独立一级正处级及以上机构者为A，副处一级挂靠机构者为B，科级及以下机构者为C，未成立专门机构者为D. 如无独立机构，则无论最终得分多寡，均不予通过。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390" w:type="dxa"/>
            <w:vMerge w:val="continue"/>
            <w:shd w:val="clear" w:color="auto" w:fill="auto"/>
            <w:vAlign w:val="center"/>
          </w:tcPr>
          <w:p>
            <w:pPr>
              <w:jc w:val="center"/>
              <w:rPr>
                <w:rFonts w:hint="eastAsia" w:ascii="仿宋_GB2312" w:hAnsi="仿宋_GB2312" w:eastAsia="仿宋_GB2312" w:cs="仿宋_GB2312"/>
                <w:b/>
                <w:sz w:val="24"/>
                <w:szCs w:val="24"/>
              </w:rPr>
            </w:pPr>
          </w:p>
        </w:tc>
        <w:tc>
          <w:tcPr>
            <w:tcW w:w="3984" w:type="dxa"/>
            <w:shd w:val="clear" w:color="auto" w:fill="auto"/>
            <w:vAlign w:val="center"/>
          </w:tcPr>
          <w:p>
            <w:pPr>
              <w:ind w:right="-86" w:rightChars="-41"/>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1.2固定编制</w:t>
            </w:r>
          </w:p>
        </w:tc>
        <w:tc>
          <w:tcPr>
            <w:tcW w:w="1333" w:type="dxa"/>
            <w:shd w:val="clear" w:color="auto" w:fill="auto"/>
            <w:vAlign w:val="center"/>
          </w:tcPr>
          <w:p>
            <w:pPr>
              <w:ind w:right="84" w:rightChars="4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707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参考登记表和佐证材料综合判断。已落实固定编制7人及以上者为A,4-6人者为B，1-3人者为C，无固定编制者为D。如无固定编制或有编制未落实编制人员，则无论最终得分多寡，均不予通过。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390" w:type="dxa"/>
            <w:vMerge w:val="continue"/>
            <w:shd w:val="clear" w:color="auto" w:fill="auto"/>
            <w:vAlign w:val="center"/>
          </w:tcPr>
          <w:p>
            <w:pPr>
              <w:jc w:val="center"/>
              <w:rPr>
                <w:rFonts w:hint="eastAsia" w:ascii="仿宋_GB2312" w:hAnsi="仿宋_GB2312" w:eastAsia="仿宋_GB2312" w:cs="仿宋_GB2312"/>
                <w:b/>
                <w:sz w:val="24"/>
                <w:szCs w:val="24"/>
              </w:rPr>
            </w:pPr>
          </w:p>
        </w:tc>
        <w:tc>
          <w:tcPr>
            <w:tcW w:w="3984" w:type="dxa"/>
            <w:shd w:val="clear" w:color="auto" w:fill="auto"/>
            <w:vAlign w:val="center"/>
          </w:tcPr>
          <w:p>
            <w:pPr>
              <w:ind w:right="84" w:rightChars="4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1.3专职人员</w:t>
            </w:r>
          </w:p>
        </w:tc>
        <w:tc>
          <w:tcPr>
            <w:tcW w:w="1333" w:type="dxa"/>
            <w:shd w:val="clear" w:color="auto" w:fill="auto"/>
            <w:vAlign w:val="center"/>
          </w:tcPr>
          <w:p>
            <w:pPr>
              <w:ind w:right="84" w:rightChars="4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07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参考登记表和佐证材料综合判断。目前中心专职人员（含中心专职教师、专职工作人员）15人以上的评为A，9-14人的评为B，4-8人的评为C，3人及以下的评为D.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2390" w:type="dxa"/>
            <w:vMerge w:val="restart"/>
            <w:shd w:val="clear" w:color="auto" w:fill="auto"/>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2.经费投入</w:t>
            </w:r>
          </w:p>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（15分）</w:t>
            </w:r>
          </w:p>
        </w:tc>
        <w:tc>
          <w:tcPr>
            <w:tcW w:w="3984"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2.1经费规模</w:t>
            </w:r>
          </w:p>
        </w:tc>
        <w:tc>
          <w:tcPr>
            <w:tcW w:w="1333" w:type="dxa"/>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71" w:type="dxa"/>
            <w:shd w:val="clear" w:color="auto" w:fill="auto"/>
            <w:vAlign w:val="center"/>
          </w:tcPr>
          <w:p>
            <w:pPr>
              <w:pStyle w:val="8"/>
              <w:spacing w:before="0" w:beforeAutospacing="0" w:after="0" w:afterAutospacing="0"/>
              <w:rPr>
                <w:rStyle w:val="15"/>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参考登记表和佐证材料综合判断。经费投入符合中心发展建设和各项工作开展需要。经费充足者评为A或B，否则评为C或D.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90" w:type="dxa"/>
            <w:vMerge w:val="continue"/>
            <w:shd w:val="clear" w:color="auto" w:fill="auto"/>
            <w:vAlign w:val="center"/>
          </w:tcPr>
          <w:p>
            <w:pPr>
              <w:jc w:val="center"/>
              <w:rPr>
                <w:rFonts w:hint="eastAsia" w:ascii="仿宋_GB2312" w:hAnsi="仿宋_GB2312" w:eastAsia="仿宋_GB2312" w:cs="仿宋_GB2312"/>
                <w:b/>
                <w:sz w:val="24"/>
                <w:szCs w:val="24"/>
              </w:rPr>
            </w:pPr>
          </w:p>
        </w:tc>
        <w:tc>
          <w:tcPr>
            <w:tcW w:w="3984"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2.2经费用途</w:t>
            </w:r>
          </w:p>
        </w:tc>
        <w:tc>
          <w:tcPr>
            <w:tcW w:w="1333" w:type="dxa"/>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71" w:type="dxa"/>
            <w:shd w:val="clear" w:color="auto" w:fill="auto"/>
            <w:vAlign w:val="center"/>
          </w:tcPr>
          <w:p>
            <w:pPr>
              <w:jc w:val="left"/>
              <w:rPr>
                <w:rStyle w:val="15"/>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参考登记表和佐证材料综合判断。经费使用用途分配合理，对于中心软硬件建设和业务开展均形成良好支持。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390" w:type="dxa"/>
            <w:vMerge w:val="continue"/>
            <w:shd w:val="clear" w:color="auto" w:fill="auto"/>
            <w:vAlign w:val="center"/>
          </w:tcPr>
          <w:p>
            <w:pPr>
              <w:jc w:val="center"/>
              <w:rPr>
                <w:rFonts w:hint="eastAsia" w:ascii="仿宋_GB2312" w:hAnsi="仿宋_GB2312" w:eastAsia="仿宋_GB2312" w:cs="仿宋_GB2312"/>
                <w:b/>
                <w:sz w:val="24"/>
                <w:szCs w:val="24"/>
              </w:rPr>
            </w:pPr>
          </w:p>
        </w:tc>
        <w:tc>
          <w:tcPr>
            <w:tcW w:w="3984" w:type="dxa"/>
            <w:shd w:val="clear" w:color="auto" w:fill="auto"/>
            <w:vAlign w:val="center"/>
          </w:tcPr>
          <w:p>
            <w:pPr>
              <w:ind w:right="84" w:rightChars="4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2.3经费制度</w:t>
            </w:r>
          </w:p>
        </w:tc>
        <w:tc>
          <w:tcPr>
            <w:tcW w:w="1333" w:type="dxa"/>
            <w:shd w:val="clear" w:color="auto" w:fill="auto"/>
            <w:vAlign w:val="center"/>
          </w:tcPr>
          <w:p>
            <w:pPr>
              <w:ind w:right="84" w:rightChars="4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71" w:type="dxa"/>
            <w:shd w:val="clear" w:color="auto" w:fill="auto"/>
            <w:vAlign w:val="center"/>
          </w:tcPr>
          <w:p>
            <w:pPr>
              <w:pStyle w:val="8"/>
              <w:spacing w:before="0" w:beforeAutospacing="0" w:after="0" w:afterAutospacing="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学校对于教师教学发展中心投入制度化，已形成比较稳定的经费投入机制；中心经费使用方面有较为完善管理制度。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390" w:type="dxa"/>
            <w:vMerge w:val="restart"/>
            <w:shd w:val="clear" w:color="auto" w:fill="auto"/>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3.场地设备（15分）</w:t>
            </w:r>
          </w:p>
        </w:tc>
        <w:tc>
          <w:tcPr>
            <w:tcW w:w="3984"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3.1场地类型和面积</w:t>
            </w:r>
          </w:p>
        </w:tc>
        <w:tc>
          <w:tcPr>
            <w:tcW w:w="1333" w:type="dxa"/>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707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中心需要有固定的办公场地和业务使用场地，针对各类不同业务有多种类型场地作为配套支撑，场地面积足够满足业务开展需要，场地面向教师开放。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390" w:type="dxa"/>
            <w:vMerge w:val="continue"/>
            <w:shd w:val="clear" w:color="auto" w:fill="auto"/>
            <w:vAlign w:val="center"/>
          </w:tcPr>
          <w:p>
            <w:pPr>
              <w:ind w:firstLine="602" w:firstLineChars="250"/>
              <w:jc w:val="center"/>
              <w:rPr>
                <w:rFonts w:hint="eastAsia" w:ascii="仿宋_GB2312" w:hAnsi="仿宋_GB2312" w:eastAsia="仿宋_GB2312" w:cs="仿宋_GB2312"/>
                <w:b/>
                <w:sz w:val="24"/>
                <w:szCs w:val="24"/>
              </w:rPr>
            </w:pPr>
          </w:p>
        </w:tc>
        <w:tc>
          <w:tcPr>
            <w:tcW w:w="3984"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3.2设备的多样性和适用性</w:t>
            </w:r>
          </w:p>
        </w:tc>
        <w:tc>
          <w:tcPr>
            <w:tcW w:w="1333" w:type="dxa"/>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707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根据场地所承载的业务需求配备设备，设备数量充足、类型齐全、实用性强，设备价值总值较高。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390" w:type="dxa"/>
            <w:vMerge w:val="restart"/>
            <w:shd w:val="clear" w:color="auto" w:fill="auto"/>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4.制度建设</w:t>
            </w:r>
          </w:p>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（10分）</w:t>
            </w:r>
          </w:p>
        </w:tc>
        <w:tc>
          <w:tcPr>
            <w:tcW w:w="3984"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4.1中心管理运行制度</w:t>
            </w:r>
          </w:p>
        </w:tc>
        <w:tc>
          <w:tcPr>
            <w:tcW w:w="1333" w:type="dxa"/>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7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参考登记表和佐证材料综合判断。中心已建立齐备的运行管理制度，制度内容科学、详实、可操作。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390" w:type="dxa"/>
            <w:vMerge w:val="continue"/>
            <w:shd w:val="clear" w:color="auto" w:fill="auto"/>
            <w:vAlign w:val="center"/>
          </w:tcPr>
          <w:p>
            <w:pPr>
              <w:jc w:val="center"/>
              <w:rPr>
                <w:rFonts w:hint="eastAsia" w:ascii="仿宋_GB2312" w:hAnsi="仿宋_GB2312" w:eastAsia="仿宋_GB2312" w:cs="仿宋_GB2312"/>
                <w:b/>
                <w:sz w:val="24"/>
                <w:szCs w:val="24"/>
              </w:rPr>
            </w:pPr>
          </w:p>
        </w:tc>
        <w:tc>
          <w:tcPr>
            <w:tcW w:w="3984"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4.2中心师资发展制度</w:t>
            </w:r>
          </w:p>
        </w:tc>
        <w:tc>
          <w:tcPr>
            <w:tcW w:w="1333" w:type="dxa"/>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7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参考登记表和佐证材料综合判断。在教师教学能力提升方面已建立比较完善的制度或方案，且在运行中得到有效执行，并取得明显成果。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390" w:type="dxa"/>
            <w:vMerge w:val="restart"/>
            <w:shd w:val="clear" w:color="auto" w:fill="auto"/>
            <w:vAlign w:val="center"/>
          </w:tcPr>
          <w:p>
            <w:pPr>
              <w:ind w:left="211" w:hanging="241" w:hangingChars="1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5.业务活动(15分)</w:t>
            </w:r>
          </w:p>
        </w:tc>
        <w:tc>
          <w:tcPr>
            <w:tcW w:w="3984"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5.1活动的种类和数量</w:t>
            </w:r>
          </w:p>
        </w:tc>
        <w:tc>
          <w:tcPr>
            <w:tcW w:w="1333" w:type="dxa"/>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7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参考登记表和佐证材料综合判断。活动类型多样，形式灵活（包括培训、研讨、交流、咨询、评估等），数量较多。满足上述条件者评A或B，否则评C或D。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390" w:type="dxa"/>
            <w:vMerge w:val="continue"/>
            <w:shd w:val="clear" w:color="auto" w:fill="auto"/>
            <w:vAlign w:val="center"/>
          </w:tcPr>
          <w:p>
            <w:pPr>
              <w:rPr>
                <w:rFonts w:hint="eastAsia" w:ascii="仿宋_GB2312" w:hAnsi="仿宋_GB2312" w:eastAsia="仿宋_GB2312" w:cs="仿宋_GB2312"/>
                <w:b/>
                <w:sz w:val="24"/>
                <w:szCs w:val="24"/>
              </w:rPr>
            </w:pPr>
          </w:p>
        </w:tc>
        <w:tc>
          <w:tcPr>
            <w:tcW w:w="3984"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5.2活动的层次和效果</w:t>
            </w:r>
          </w:p>
        </w:tc>
        <w:tc>
          <w:tcPr>
            <w:tcW w:w="1333" w:type="dxa"/>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07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参考登记表和佐证材料综合判断。中心举办的活动层次较高，覆盖范围较广（至少覆盖全校乃至全省），活动目的明确、针对性强，对于教师教学能力提升有实际效果。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390" w:type="dxa"/>
            <w:shd w:val="clear" w:color="auto" w:fill="auto"/>
            <w:vAlign w:val="center"/>
          </w:tcPr>
          <w:p>
            <w:pP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6.成果与特色（5分）</w:t>
            </w:r>
          </w:p>
        </w:tc>
        <w:tc>
          <w:tcPr>
            <w:tcW w:w="3984"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6.1中心建设成效和主要特色</w:t>
            </w:r>
          </w:p>
        </w:tc>
        <w:tc>
          <w:tcPr>
            <w:tcW w:w="1333" w:type="dxa"/>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7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中心立项以来，在基础条件建设及教师教学能力提升方面均取得实际效果，中心代表性成果层次较高、特色鲜明并应用于工作实际，成果和特色在全省具有示范和借鉴意义。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390" w:type="dxa"/>
            <w:shd w:val="clear" w:color="auto" w:fill="auto"/>
            <w:vAlign w:val="center"/>
          </w:tcPr>
          <w:p>
            <w:pP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7.信息化建设（5分）</w:t>
            </w:r>
          </w:p>
        </w:tc>
        <w:tc>
          <w:tcPr>
            <w:tcW w:w="3984"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7.1信息化建设情况</w:t>
            </w:r>
          </w:p>
        </w:tc>
        <w:tc>
          <w:tcPr>
            <w:tcW w:w="1333" w:type="dxa"/>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7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中心已经建立专属网站，拥有较为先进的信息技术平台，并能够利用信息技术和平台辅助中心的核心业务，扩大中心影响和辐射面。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390" w:type="dxa"/>
            <w:shd w:val="clear" w:color="auto" w:fill="auto"/>
            <w:vAlign w:val="center"/>
          </w:tcPr>
          <w:p>
            <w:pP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8.未来建设规划（5分）</w:t>
            </w:r>
          </w:p>
        </w:tc>
        <w:tc>
          <w:tcPr>
            <w:tcW w:w="3984"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8.1未来建设规划情况</w:t>
            </w:r>
          </w:p>
        </w:tc>
        <w:tc>
          <w:tcPr>
            <w:tcW w:w="1333" w:type="dxa"/>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7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中心未来建设规划目标明确、科学，保障措施具体得力，按照未来的建设规划，中心的建设成效能够得到持续积累，中心功能得到稳定持续发挥。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390" w:type="dxa"/>
            <w:shd w:val="clear" w:color="auto" w:fill="auto"/>
            <w:vAlign w:val="center"/>
          </w:tcPr>
          <w:p>
            <w:pP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9.材料完整性（10分）</w:t>
            </w:r>
          </w:p>
        </w:tc>
        <w:tc>
          <w:tcPr>
            <w:tcW w:w="3984"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9.1材料完整和规范</w:t>
            </w:r>
          </w:p>
        </w:tc>
        <w:tc>
          <w:tcPr>
            <w:tcW w:w="1333" w:type="dxa"/>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07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完整填写和上报了项目检查验收登记表、自评报告及佐证材料、填写了网站网址，各项材料内容完备，详实，能够如实反映项目建设情况。</w:t>
            </w:r>
          </w:p>
        </w:tc>
      </w:tr>
    </w:tbl>
    <w:p>
      <w:pPr>
        <w:spacing w:before="312" w:beforeLines="100" w:after="312" w:afterLines="100"/>
        <w:jc w:val="both"/>
        <w:rPr>
          <w:rFonts w:hint="eastAsia" w:ascii="黑体" w:hAnsi="黑体" w:eastAsia="黑体"/>
          <w:sz w:val="32"/>
          <w:szCs w:val="28"/>
        </w:rPr>
      </w:pPr>
    </w:p>
    <w:p>
      <w:pPr>
        <w:pStyle w:val="2"/>
        <w:bidi w:val="0"/>
      </w:pPr>
      <w:bookmarkStart w:id="15" w:name="_Toc24949"/>
      <w:r>
        <w:rPr>
          <w:rFonts w:hint="eastAsia"/>
        </w:rPr>
        <w:t>广东省本科高校在线开放课程建设上线标准(试行</w:t>
      </w:r>
      <w:r>
        <w:t>)</w:t>
      </w:r>
      <w:bookmarkEnd w:id="15"/>
    </w:p>
    <w:p>
      <w:pPr>
        <w:pStyle w:val="3"/>
        <w:spacing w:before="156" w:after="156"/>
        <w:ind w:left="419" w:hanging="419" w:hangingChars="149"/>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总体要求</w:t>
      </w:r>
    </w:p>
    <w:tbl>
      <w:tblPr>
        <w:tblStyle w:val="9"/>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1886"/>
        <w:gridCol w:w="11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 w:hRule="atLeast"/>
        </w:trPr>
        <w:tc>
          <w:tcPr>
            <w:tcW w:w="1182" w:type="dxa"/>
            <w:vAlign w:val="center"/>
          </w:tcPr>
          <w:p>
            <w:pPr>
              <w:widowControl/>
              <w:spacing w:line="240" w:lineRule="atLeast"/>
              <w:jc w:val="center"/>
              <w:rPr>
                <w:rFonts w:ascii="仿宋" w:hAnsi="仿宋" w:eastAsia="仿宋" w:cs="仿宋"/>
                <w:kern w:val="0"/>
                <w:sz w:val="24"/>
                <w:szCs w:val="24"/>
              </w:rPr>
            </w:pPr>
            <w:r>
              <w:rPr>
                <w:rFonts w:ascii="仿宋" w:hAnsi="仿宋" w:eastAsia="仿宋" w:cs="仿宋"/>
                <w:kern w:val="0"/>
                <w:sz w:val="24"/>
                <w:szCs w:val="24"/>
              </w:rPr>
              <w:t>序号</w:t>
            </w:r>
          </w:p>
        </w:tc>
        <w:tc>
          <w:tcPr>
            <w:tcW w:w="1886" w:type="dxa"/>
            <w:vAlign w:val="center"/>
          </w:tcPr>
          <w:p>
            <w:pPr>
              <w:widowControl/>
              <w:spacing w:line="240" w:lineRule="atLeast"/>
              <w:jc w:val="center"/>
              <w:rPr>
                <w:rFonts w:ascii="仿宋" w:hAnsi="仿宋" w:eastAsia="仿宋" w:cs="仿宋"/>
                <w:kern w:val="0"/>
                <w:sz w:val="24"/>
                <w:szCs w:val="24"/>
              </w:rPr>
            </w:pPr>
            <w:r>
              <w:rPr>
                <w:rFonts w:ascii="仿宋" w:hAnsi="仿宋" w:eastAsia="仿宋" w:cs="仿宋"/>
                <w:kern w:val="0"/>
                <w:sz w:val="24"/>
                <w:szCs w:val="24"/>
              </w:rPr>
              <w:t>项目</w:t>
            </w:r>
          </w:p>
        </w:tc>
        <w:tc>
          <w:tcPr>
            <w:tcW w:w="11010" w:type="dxa"/>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 w:val="24"/>
                <w:szCs w:val="24"/>
              </w:rPr>
              <w:t>建设</w:t>
            </w:r>
            <w:r>
              <w:rPr>
                <w:rFonts w:ascii="仿宋" w:hAnsi="仿宋" w:eastAsia="仿宋" w:cs="仿宋"/>
                <w:kern w:val="0"/>
                <w:sz w:val="24"/>
                <w:szCs w:val="24"/>
              </w:rPr>
              <w:t>上线标准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trPr>
        <w:tc>
          <w:tcPr>
            <w:tcW w:w="1182" w:type="dxa"/>
            <w:vAlign w:val="center"/>
          </w:tcPr>
          <w:p>
            <w:pPr>
              <w:widowControl/>
              <w:spacing w:line="240" w:lineRule="atLeast"/>
              <w:jc w:val="center"/>
              <w:rPr>
                <w:rFonts w:ascii="仿宋" w:hAnsi="仿宋" w:eastAsia="仿宋" w:cs="仿宋"/>
                <w:kern w:val="0"/>
                <w:sz w:val="24"/>
                <w:szCs w:val="24"/>
              </w:rPr>
            </w:pPr>
            <w:r>
              <w:rPr>
                <w:rFonts w:ascii="仿宋" w:hAnsi="仿宋" w:eastAsia="仿宋" w:cs="仿宋"/>
                <w:kern w:val="0"/>
                <w:sz w:val="24"/>
                <w:szCs w:val="24"/>
              </w:rPr>
              <w:t>1</w:t>
            </w:r>
          </w:p>
        </w:tc>
        <w:tc>
          <w:tcPr>
            <w:tcW w:w="1886" w:type="dxa"/>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 w:val="24"/>
                <w:szCs w:val="24"/>
              </w:rPr>
              <w:t>教学目标</w:t>
            </w:r>
          </w:p>
        </w:tc>
        <w:tc>
          <w:tcPr>
            <w:tcW w:w="11010" w:type="dxa"/>
          </w:tcPr>
          <w:p>
            <w:pPr>
              <w:widowControl/>
              <w:spacing w:line="240" w:lineRule="atLeast"/>
              <w:ind w:left="127"/>
              <w:jc w:val="left"/>
              <w:rPr>
                <w:rFonts w:ascii="仿宋" w:hAnsi="仿宋" w:eastAsia="仿宋" w:cs="仿宋"/>
                <w:kern w:val="0"/>
                <w:sz w:val="24"/>
                <w:szCs w:val="24"/>
              </w:rPr>
            </w:pPr>
            <w:r>
              <w:rPr>
                <w:rFonts w:hint="eastAsia" w:ascii="仿宋" w:hAnsi="仿宋" w:eastAsia="仿宋" w:cs="仿宋"/>
                <w:kern w:val="0"/>
                <w:sz w:val="24"/>
                <w:szCs w:val="24"/>
              </w:rPr>
              <w:t>（1）坚持以人为本、德育为先、能力为重、全面发展的原则，注重基本素养、专业基础知识、专业技能的培养，注重基本科研素质和创新实践能力的培养</w:t>
            </w:r>
          </w:p>
          <w:p>
            <w:pPr>
              <w:widowControl/>
              <w:spacing w:line="240" w:lineRule="atLeast"/>
              <w:ind w:left="127"/>
              <w:jc w:val="left"/>
              <w:rPr>
                <w:rFonts w:ascii="仿宋" w:hAnsi="仿宋" w:eastAsia="仿宋" w:cs="仿宋"/>
                <w:kern w:val="0"/>
                <w:sz w:val="24"/>
                <w:szCs w:val="24"/>
              </w:rPr>
            </w:pPr>
            <w:r>
              <w:rPr>
                <w:rFonts w:hint="eastAsia" w:ascii="仿宋" w:hAnsi="仿宋" w:eastAsia="仿宋" w:cs="仿宋"/>
                <w:kern w:val="0"/>
                <w:sz w:val="24"/>
                <w:szCs w:val="24"/>
              </w:rPr>
              <w:t>（2）在线课程需根据专业特点和目标学生的能力、需求等特点，结合在线开放课程教学的特征制定清晰的教学目标。</w:t>
            </w:r>
          </w:p>
          <w:p>
            <w:pPr>
              <w:widowControl/>
              <w:spacing w:line="240" w:lineRule="atLeast"/>
              <w:ind w:left="127"/>
              <w:jc w:val="left"/>
              <w:rPr>
                <w:rFonts w:ascii="仿宋" w:hAnsi="仿宋" w:eastAsia="仿宋" w:cs="仿宋"/>
                <w:kern w:val="0"/>
                <w:sz w:val="24"/>
                <w:szCs w:val="24"/>
              </w:rPr>
            </w:pPr>
            <w:r>
              <w:rPr>
                <w:rFonts w:hint="eastAsia" w:ascii="仿宋" w:hAnsi="仿宋" w:eastAsia="仿宋" w:cs="仿宋"/>
                <w:kern w:val="0"/>
                <w:sz w:val="24"/>
                <w:szCs w:val="24"/>
              </w:rPr>
              <w:t>（3）每个教学单元、模块或专题都有明确的知识、技能、或情感目标，目标实现与否可以测量，注重知识的运用能力。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9" w:hRule="atLeast"/>
        </w:trPr>
        <w:tc>
          <w:tcPr>
            <w:tcW w:w="1182" w:type="dxa"/>
            <w:vAlign w:val="center"/>
          </w:tcPr>
          <w:p>
            <w:pPr>
              <w:widowControl/>
              <w:spacing w:line="240" w:lineRule="atLeast"/>
              <w:jc w:val="center"/>
              <w:rPr>
                <w:rFonts w:ascii="仿宋" w:hAnsi="仿宋" w:eastAsia="仿宋" w:cs="仿宋"/>
                <w:kern w:val="0"/>
                <w:sz w:val="24"/>
                <w:szCs w:val="24"/>
              </w:rPr>
            </w:pPr>
            <w:r>
              <w:rPr>
                <w:rFonts w:ascii="仿宋" w:hAnsi="仿宋" w:eastAsia="仿宋" w:cs="仿宋"/>
                <w:kern w:val="0"/>
                <w:sz w:val="24"/>
                <w:szCs w:val="24"/>
              </w:rPr>
              <w:t>2</w:t>
            </w:r>
          </w:p>
        </w:tc>
        <w:tc>
          <w:tcPr>
            <w:tcW w:w="1886" w:type="dxa"/>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 w:val="24"/>
                <w:szCs w:val="24"/>
              </w:rPr>
              <w:t>教学内容</w:t>
            </w:r>
            <w:r>
              <w:rPr>
                <w:rFonts w:ascii="仿宋" w:hAnsi="仿宋" w:eastAsia="仿宋" w:cs="仿宋"/>
                <w:kern w:val="0"/>
                <w:sz w:val="24"/>
                <w:szCs w:val="24"/>
              </w:rPr>
              <w:t>与资源</w:t>
            </w:r>
          </w:p>
        </w:tc>
        <w:tc>
          <w:tcPr>
            <w:tcW w:w="11010" w:type="dxa"/>
          </w:tcPr>
          <w:p>
            <w:pPr>
              <w:widowControl/>
              <w:spacing w:line="240" w:lineRule="atLeast"/>
              <w:jc w:val="left"/>
              <w:rPr>
                <w:rFonts w:ascii="仿宋" w:hAnsi="仿宋" w:eastAsia="仿宋" w:cs="仿宋"/>
                <w:kern w:val="0"/>
                <w:sz w:val="24"/>
                <w:szCs w:val="24"/>
              </w:rPr>
            </w:pPr>
            <w:r>
              <w:rPr>
                <w:rFonts w:hint="eastAsia" w:ascii="仿宋" w:hAnsi="仿宋" w:eastAsia="仿宋" w:cs="仿宋"/>
                <w:kern w:val="0"/>
                <w:sz w:val="24"/>
                <w:szCs w:val="24"/>
              </w:rPr>
              <w:t>（1）坚持立德树人，能够将思想政治教育内容化为课程内容，弘扬社会主义核心价值观。</w:t>
            </w:r>
          </w:p>
          <w:p>
            <w:pPr>
              <w:widowControl/>
              <w:spacing w:line="240" w:lineRule="atLeast"/>
              <w:jc w:val="left"/>
              <w:rPr>
                <w:rFonts w:ascii="仿宋" w:hAnsi="仿宋" w:eastAsia="仿宋" w:cs="仿宋"/>
                <w:kern w:val="0"/>
                <w:sz w:val="24"/>
                <w:szCs w:val="24"/>
              </w:rPr>
            </w:pPr>
            <w:r>
              <w:rPr>
                <w:rFonts w:hint="eastAsia" w:ascii="仿宋" w:hAnsi="仿宋" w:eastAsia="仿宋" w:cs="仿宋"/>
                <w:kern w:val="0"/>
                <w:sz w:val="24"/>
                <w:szCs w:val="24"/>
              </w:rPr>
              <w:t>（2）教学内容需准确、系统、全面，体现现代教育思想、教学理念，符合教育教学规律，符合社会主义价值观，符合目标学习者的学习能力和学习需求；注重知识的实用性和思想性，并突出课程特色。</w:t>
            </w:r>
          </w:p>
          <w:p>
            <w:pPr>
              <w:widowControl/>
              <w:spacing w:line="240" w:lineRule="atLeast"/>
              <w:jc w:val="left"/>
              <w:rPr>
                <w:rFonts w:ascii="仿宋" w:hAnsi="仿宋" w:eastAsia="仿宋" w:cs="仿宋"/>
                <w:kern w:val="0"/>
                <w:sz w:val="24"/>
                <w:szCs w:val="24"/>
              </w:rPr>
            </w:pPr>
            <w:r>
              <w:rPr>
                <w:rFonts w:hint="eastAsia" w:ascii="仿宋" w:hAnsi="仿宋" w:eastAsia="仿宋" w:cs="仿宋"/>
                <w:kern w:val="0"/>
                <w:sz w:val="24"/>
                <w:szCs w:val="24"/>
              </w:rPr>
              <w:t>（3）教学资源的形式包含课件、测评和其他辅助学习资料。其中课件包括教学视频、音频、教案、演示文稿、动画、虚拟仿真等，规格应遵循行业通行的网络教育技术标准；测评包括随堂提问、讨论、课后作业、阶段性测验、考试等。</w:t>
            </w:r>
          </w:p>
          <w:p>
            <w:pPr>
              <w:widowControl/>
              <w:spacing w:line="240" w:lineRule="atLeast"/>
              <w:jc w:val="left"/>
              <w:rPr>
                <w:rFonts w:ascii="仿宋" w:hAnsi="仿宋" w:eastAsia="仿宋" w:cs="仿宋"/>
                <w:kern w:val="0"/>
                <w:sz w:val="24"/>
                <w:szCs w:val="24"/>
              </w:rPr>
            </w:pPr>
            <w:r>
              <w:rPr>
                <w:rFonts w:hint="eastAsia" w:ascii="仿宋" w:hAnsi="仿宋" w:eastAsia="仿宋" w:cs="仿宋"/>
                <w:kern w:val="0"/>
                <w:sz w:val="24"/>
                <w:szCs w:val="24"/>
              </w:rPr>
              <w:t>（4）教学视频以短视频为主，每个短视频时长以不超过15分钟为宜，要求画面美观、内容丰富、图像和声音清晰、字幕完整准确，教师仪态自然轻松，语言富感染力；</w:t>
            </w:r>
          </w:p>
          <w:p>
            <w:pPr>
              <w:widowControl/>
              <w:spacing w:line="240" w:lineRule="atLeast"/>
              <w:jc w:val="left"/>
              <w:rPr>
                <w:rFonts w:ascii="仿宋" w:hAnsi="仿宋" w:eastAsia="仿宋" w:cs="仿宋"/>
                <w:kern w:val="0"/>
                <w:sz w:val="24"/>
                <w:szCs w:val="24"/>
              </w:rPr>
            </w:pPr>
            <w:r>
              <w:rPr>
                <w:rFonts w:hint="eastAsia" w:ascii="仿宋" w:hAnsi="仿宋" w:eastAsia="仿宋" w:cs="仿宋"/>
                <w:kern w:val="0"/>
                <w:sz w:val="24"/>
                <w:szCs w:val="24"/>
              </w:rPr>
              <w:t>（5）注重形成性评价，按知识点、单元、模块等设置作业或测评，帮助学生及时掌握学习内容，帮助教师获得学习效果及时反馈；注重互动交流，引导学生讨论，开展互帮互学，形成学习社区。视频、音频、演示文稿等需经过精心设计和制作，注重提高学生学习兴趣。</w:t>
            </w:r>
          </w:p>
          <w:p>
            <w:pPr>
              <w:widowControl/>
              <w:spacing w:line="240" w:lineRule="atLeast"/>
              <w:jc w:val="left"/>
              <w:rPr>
                <w:rFonts w:ascii="仿宋" w:hAnsi="仿宋" w:eastAsia="仿宋" w:cs="仿宋"/>
                <w:kern w:val="0"/>
                <w:sz w:val="24"/>
                <w:szCs w:val="24"/>
              </w:rPr>
            </w:pPr>
            <w:r>
              <w:rPr>
                <w:rFonts w:hint="eastAsia" w:ascii="仿宋" w:hAnsi="仿宋" w:eastAsia="仿宋" w:cs="仿宋"/>
                <w:kern w:val="0"/>
                <w:sz w:val="24"/>
                <w:szCs w:val="24"/>
              </w:rPr>
              <w:t>（6）教学资源力求丰富多样，充分发挥在线教育教学的优势，在数量和类型上力求超出传统实体课堂所调用的资源范围，实现资源冗余，以方便教师自主搭建课程和学生拓展学习。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0" w:hRule="atLeast"/>
        </w:trPr>
        <w:tc>
          <w:tcPr>
            <w:tcW w:w="1182"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886"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教学设计与方法</w:t>
            </w:r>
          </w:p>
        </w:tc>
        <w:tc>
          <w:tcPr>
            <w:tcW w:w="11010" w:type="dxa"/>
          </w:tcPr>
          <w:p>
            <w:pPr>
              <w:widowControl/>
              <w:numPr>
                <w:ilvl w:val="0"/>
                <w:numId w:val="2"/>
              </w:numPr>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以教学目标为导向，遵循有效教学的基本规律，结合在线开放课程教学的特征与需求进行整体的教学设计。</w:t>
            </w:r>
          </w:p>
          <w:p>
            <w:pPr>
              <w:widowControl/>
              <w:numPr>
                <w:ilvl w:val="0"/>
                <w:numId w:val="2"/>
              </w:numPr>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需根据教学目标、学科特点、网络学习者的认知规律，围绕学科核心概念，以模块、单元和知识点为基本框架，合理有序地设计课程结构；</w:t>
            </w:r>
          </w:p>
          <w:p>
            <w:pPr>
              <w:widowControl/>
              <w:numPr>
                <w:ilvl w:val="0"/>
                <w:numId w:val="2"/>
              </w:numPr>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教学环节设计完整，包括课前预习材料、课中教学、课后互动讨论答疑、课外见面、扩展学习等；</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（4）采取符合在线学习者习惯和心理的教学策略，积极运用案例式、混合式、探究式等多种教学方法提升学习兴趣和效果；</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（5）精心设计教学活动，有明确合理的学习评价策略和学习激励措施。</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（6）教学设计要有利于开展翻转课堂、混合式教学等多种方式的课堂教学，有利于信息技术与课堂教学的深度融合和创新应用。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7" w:hRule="atLeast"/>
        </w:trPr>
        <w:tc>
          <w:tcPr>
            <w:tcW w:w="1182"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886"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教学活动与评价</w:t>
            </w:r>
          </w:p>
        </w:tc>
        <w:tc>
          <w:tcPr>
            <w:tcW w:w="11010" w:type="dxa"/>
          </w:tcPr>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（1）教学活动要体现以学生为主体、以教师为主导的教育理念，能综合运用多种方式、多种手段开展教学活动。</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建立多元化学习评价体系，有明确合理的课程整体评价策略和各学习周、知识单元的评价策略，包括完成课程学习必须的各项学习活动的数量及评分的标准等，探索线上和线下融合，过程性评价与终结性评价相结合的多元化考核评价模式，促进学生自主性学习、过程性学习和体验式学习，促进师生之间、学生之间进行资源共享、问题交流和协作学习，加强师生课堂与课下的互动，激发学生学习兴趣。</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（3）按章节建设含有足够题型和题量的题库，便于系统自动组卷和各类型的学习评价。</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教学活动和评价的类型包括但不限于视频中插入随堂练习、知识点配套的课后练习题、阶段性作业或测验、同伴互评、主题讨论、互动答疑、学习问卷、社交工具互动等，课程成绩由过程性考核和终结性考核综合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9" w:hRule="atLeast"/>
        </w:trPr>
        <w:tc>
          <w:tcPr>
            <w:tcW w:w="1182"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1886"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团队支持与服务</w:t>
            </w:r>
          </w:p>
        </w:tc>
        <w:tc>
          <w:tcPr>
            <w:tcW w:w="11010" w:type="dxa"/>
          </w:tcPr>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（1）课程团队的知识结构、年龄结构及任务分工合理，团队成员人数以3-5人为宜。</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（2）课程建设负责人应为高校正式聘用，具有良好师德、丰富的教学经验和较高的学术造诣的教师；</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（3）支持和鼓励教学名师、知名专家主讲开放课程；</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（4）主讲教师应为教学一线长期承担本课程教学任务的教师；</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（5）团队中需配备具有网络教学经验、在线开放课程建设经验的教师或教育技术专业教师，以及能长期在线服务教学并承担在线辅导、答疑等工作的助教人员。</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（6）鼓励定期开设线下见面课或远程视频互动课，加强师生和生生之间的互动交流。</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（7）鼓励开展跨校、跨专业、跨层次建设满足不同教学需要、不同学习需求的在线开放课程或课程群。</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（8）课程团队应积极开展教学研讨工作，通过在线开放课程建设，形成一支教学、辅导、设计和技术支持等结构合理、人员稳定、教学水平高、教学效果好、资源设计和制作能力强的优秀课程教学团队。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182"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1886"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教学效果与改进</w:t>
            </w:r>
          </w:p>
        </w:tc>
        <w:tc>
          <w:tcPr>
            <w:tcW w:w="11010" w:type="dxa"/>
          </w:tcPr>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基于大数据信息采集分析，全程记录和跟踪教师的教学、学生的学习过程、学习进度、内容和反馈，全面跟踪和分析每个学生的个性特点、学习行为，对进度缓慢或有可能弃学的学生进行回访和提醒，同时为学习者提供及时的反馈信息。</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（2）开展学习者问卷调查。通过学习数据、师生交互、调查等反馈信息，改进教学内容、活动和评价设计，开展教学研究。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9" w:hRule="atLeast"/>
        </w:trPr>
        <w:tc>
          <w:tcPr>
            <w:tcW w:w="1182" w:type="dxa"/>
            <w:vAlign w:val="center"/>
          </w:tcPr>
          <w:p>
            <w:pPr>
              <w:widowControl/>
              <w:spacing w:line="240" w:lineRule="atLeast"/>
              <w:jc w:val="center"/>
              <w:rPr>
                <w:rFonts w:ascii="仿宋" w:hAnsi="仿宋" w:eastAsia="仿宋" w:cs="仿宋"/>
                <w:kern w:val="0"/>
              </w:rPr>
            </w:pPr>
            <w:r>
              <w:rPr>
                <w:rFonts w:hint="eastAsia" w:ascii="仿宋" w:hAnsi="仿宋" w:eastAsia="仿宋" w:cs="仿宋"/>
                <w:kern w:val="0"/>
              </w:rPr>
              <w:t>7</w:t>
            </w:r>
          </w:p>
        </w:tc>
        <w:tc>
          <w:tcPr>
            <w:tcW w:w="1886" w:type="dxa"/>
            <w:vAlign w:val="center"/>
          </w:tcPr>
          <w:p>
            <w:pPr>
              <w:widowControl/>
              <w:spacing w:line="240" w:lineRule="atLeast"/>
              <w:jc w:val="center"/>
              <w:rPr>
                <w:rFonts w:ascii="仿宋" w:hAnsi="仿宋" w:eastAsia="仿宋" w:cs="仿宋"/>
                <w:kern w:val="0"/>
              </w:rPr>
            </w:pPr>
            <w:r>
              <w:rPr>
                <w:rFonts w:hint="eastAsia" w:ascii="仿宋" w:hAnsi="仿宋" w:eastAsia="仿宋" w:cs="仿宋"/>
                <w:kern w:val="0"/>
              </w:rPr>
              <w:t>信息安全及知识产权保障</w:t>
            </w:r>
          </w:p>
        </w:tc>
        <w:tc>
          <w:tcPr>
            <w:tcW w:w="11010" w:type="dxa"/>
          </w:tcPr>
          <w:p>
            <w:pPr>
              <w:widowControl/>
              <w:spacing w:line="240" w:lineRule="atLeast"/>
              <w:jc w:val="left"/>
              <w:rPr>
                <w:rFonts w:ascii="仿宋" w:hAnsi="仿宋" w:eastAsia="仿宋" w:cs="仿宋"/>
                <w:kern w:val="0"/>
              </w:rPr>
            </w:pPr>
            <w:r>
              <w:rPr>
                <w:rFonts w:hint="eastAsia" w:ascii="仿宋" w:hAnsi="仿宋" w:eastAsia="仿宋" w:cs="仿宋"/>
                <w:kern w:val="0"/>
              </w:rPr>
              <w:t>（1）上线课程建设团队成员需严格遵守</w:t>
            </w:r>
            <w:r>
              <w:rPr>
                <w:rFonts w:hint="eastAsia" w:ascii="仿宋_GB2312" w:hAnsi="宋体" w:eastAsia="仿宋_GB2312"/>
                <w:szCs w:val="21"/>
              </w:rPr>
              <w:t>国家安全、保密和法律规定</w:t>
            </w:r>
            <w:r>
              <w:rPr>
                <w:rFonts w:hint="eastAsia" w:ascii="仿宋" w:hAnsi="仿宋" w:eastAsia="仿宋" w:cs="仿宋"/>
                <w:kern w:val="0"/>
              </w:rPr>
              <w:t>，依法依规开展教学活动，实施对课程内容、讨论内容、学习过程内容的有效监管，防范和及时制止网络有害信息的传播。</w:t>
            </w:r>
          </w:p>
          <w:p>
            <w:pPr>
              <w:widowControl/>
              <w:spacing w:line="240" w:lineRule="atLeast"/>
              <w:jc w:val="left"/>
              <w:rPr>
                <w:rFonts w:ascii="仿宋_GB2312" w:hAnsi="宋体" w:eastAsia="仿宋_GB2312"/>
                <w:szCs w:val="21"/>
              </w:rPr>
            </w:pPr>
            <w:r>
              <w:rPr>
                <w:rFonts w:hint="eastAsia" w:ascii="仿宋" w:hAnsi="仿宋" w:eastAsia="仿宋" w:cs="仿宋"/>
                <w:kern w:val="0"/>
              </w:rPr>
              <w:t>（2）重视版权和知识产权问题，教学资源中所使用的图片、音视频等素材应注明出处。</w:t>
            </w:r>
            <w:r>
              <w:rPr>
                <w:rFonts w:hint="eastAsia" w:ascii="仿宋_GB2312" w:hAnsi="宋体" w:eastAsia="仿宋_GB2312"/>
                <w:szCs w:val="21"/>
              </w:rPr>
              <w:t>保证课程资源的知识产权清晰、明确，不存在侵犯他人合法权益的情形。</w:t>
            </w:r>
          </w:p>
          <w:p>
            <w:pPr>
              <w:widowControl/>
              <w:spacing w:line="240" w:lineRule="atLeast"/>
              <w:jc w:val="left"/>
              <w:rPr>
                <w:rFonts w:ascii="仿宋_GB2312" w:hAnsi="宋体" w:eastAsia="仿宋_GB2312"/>
                <w:szCs w:val="21"/>
              </w:rPr>
            </w:pPr>
            <w:r>
              <w:rPr>
                <w:rFonts w:hint="eastAsia" w:ascii="仿宋_GB2312" w:hAnsi="宋体" w:eastAsia="仿宋_GB2312"/>
                <w:szCs w:val="21"/>
              </w:rPr>
              <w:t>（3）保证课程内容不存在政治性、思想性、科学性和规范性问题以及侵犯知识产权、肖像权等问题，适合网上公开使用。</w:t>
            </w:r>
          </w:p>
          <w:p>
            <w:pPr>
              <w:widowControl/>
              <w:spacing w:line="240" w:lineRule="atLeast"/>
              <w:jc w:val="left"/>
              <w:rPr>
                <w:rFonts w:ascii="仿宋" w:hAnsi="仿宋" w:eastAsia="仿宋" w:cs="仿宋"/>
                <w:kern w:val="0"/>
              </w:rPr>
            </w:pPr>
            <w:r>
              <w:rPr>
                <w:rFonts w:hint="eastAsia" w:ascii="仿宋" w:hAnsi="仿宋" w:eastAsia="仿宋" w:cs="仿宋"/>
                <w:kern w:val="0"/>
              </w:rPr>
              <w:t>（4）除特别约定外，省在线开放课程，所有权归属建设高校或课程团队。</w:t>
            </w:r>
          </w:p>
          <w:p>
            <w:pPr>
              <w:widowControl/>
              <w:spacing w:line="240" w:lineRule="atLeast"/>
              <w:jc w:val="left"/>
              <w:rPr>
                <w:rFonts w:ascii="仿宋" w:hAnsi="仿宋" w:eastAsia="仿宋" w:cs="仿宋"/>
                <w:kern w:val="0"/>
              </w:rPr>
            </w:pPr>
            <w:r>
              <w:rPr>
                <w:rFonts w:hint="eastAsia" w:ascii="仿宋" w:hAnsi="仿宋" w:eastAsia="仿宋" w:cs="仿宋"/>
                <w:kern w:val="0"/>
              </w:rPr>
              <w:t>（5）相关高校、课程建设团队均须签订平等互利的知识产权保障协议，明确各方权利和义务，切实保障各方权益。</w:t>
            </w:r>
          </w:p>
        </w:tc>
      </w:tr>
    </w:tbl>
    <w:p>
      <w:pPr>
        <w:pStyle w:val="2"/>
        <w:spacing w:before="156" w:after="156"/>
        <w:rPr>
          <w:rFonts w:ascii="仿宋_GB2312" w:eastAsia="仿宋_GB2312"/>
          <w:sz w:val="28"/>
          <w:szCs w:val="28"/>
        </w:rPr>
      </w:pPr>
      <w:bookmarkStart w:id="16" w:name="_Toc12777"/>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课程网站要求</w:t>
      </w:r>
      <w:bookmarkEnd w:id="16"/>
    </w:p>
    <w:tbl>
      <w:tblPr>
        <w:tblStyle w:val="9"/>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42"/>
        <w:gridCol w:w="1980"/>
        <w:gridCol w:w="115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242"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1980"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w:t>
            </w:r>
          </w:p>
        </w:tc>
        <w:tc>
          <w:tcPr>
            <w:tcW w:w="11557"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建设上线标准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5" w:hRule="atLeast"/>
        </w:trPr>
        <w:tc>
          <w:tcPr>
            <w:tcW w:w="1242"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980"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课程基本信息</w:t>
            </w:r>
          </w:p>
        </w:tc>
        <w:tc>
          <w:tcPr>
            <w:tcW w:w="11557" w:type="dxa"/>
          </w:tcPr>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课程门户或首页上明确告知学习者关于课程的基本信息，包括但不限于：课程名称，课程类别，课程模式（混合式或完全在线课程），课程标签，课程图片（最佳尺寸220*120像素）或课程宣传片（可选）、课程概述、教学目标、教学内容、课程特点、适用对象、教学团队介绍、学习方法和要求、学时数、学分数（可选）、开放模式（同步、闯关或自由）、学习要求、考核方式、成绩构成和权重、教材与参考资料、最新教学周期、已开课周期、学习人数，学校校数、学习满意度等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9" w:hRule="atLeast"/>
        </w:trPr>
        <w:tc>
          <w:tcPr>
            <w:tcW w:w="1242"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980"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教师团队</w:t>
            </w:r>
          </w:p>
        </w:tc>
        <w:tc>
          <w:tcPr>
            <w:tcW w:w="11557" w:type="dxa"/>
          </w:tcPr>
          <w:p>
            <w:pPr>
              <w:widowControl/>
              <w:numPr>
                <w:ilvl w:val="0"/>
                <w:numId w:val="3"/>
              </w:numPr>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团队成员结构合理，分工明确，能合理安排教学服务，积极跟进课程维护，每门课程3-5人为宜，分核心教学主讲人，核心教学助教及其他课程支持人员；</w:t>
            </w:r>
          </w:p>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（2）展现课程团队简介，课程负责人和讲师的简介，可以增加有说服力的他人评价，要求展现形式简洁，配老师照片，将课程负责人重点展示。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5" w:hRule="atLeast"/>
        </w:trPr>
        <w:tc>
          <w:tcPr>
            <w:tcW w:w="1242"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980"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课程大纲</w:t>
            </w:r>
          </w:p>
        </w:tc>
        <w:tc>
          <w:tcPr>
            <w:tcW w:w="11557" w:type="dxa"/>
          </w:tcPr>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明确列出课程结构表（以知识点为最小单元），并注明各单元教学目标、教学内容简介、授课方式、教学活动方式和成绩占比、学习方法、常见问题等。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3" w:hRule="atLeast"/>
        </w:trPr>
        <w:tc>
          <w:tcPr>
            <w:tcW w:w="1242"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980"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教学日历</w:t>
            </w:r>
          </w:p>
        </w:tc>
        <w:tc>
          <w:tcPr>
            <w:tcW w:w="11557" w:type="dxa"/>
          </w:tcPr>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（1）教师可根据课程特点合理安排教学进度。</w:t>
            </w:r>
          </w:p>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kern w:val="0"/>
                <w:sz w:val="24"/>
                <w:szCs w:val="24"/>
              </w:rPr>
              <w:t>对教与学同步进行课程，以课程大纲和教学时间相结合的形式呈现教学日历，即教师组织线上课程教学的具体实施计划表，应注明每一段教学的起止日期，并明确告知讨论、作业或测评的截止提交时间、考试时间等关键节点。</w:t>
            </w:r>
          </w:p>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kern w:val="0"/>
                <w:sz w:val="24"/>
                <w:szCs w:val="24"/>
              </w:rPr>
              <w:t>对于教与学不同步的课程，可根据课程特点灵活采用闯关式或自由式的视频开放模式，教学日历中注明课程开放总时间、测评和考试截止时间等。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9" w:hRule="atLeast"/>
        </w:trPr>
        <w:tc>
          <w:tcPr>
            <w:tcW w:w="1242"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1980"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授课视频</w:t>
            </w:r>
          </w:p>
        </w:tc>
        <w:tc>
          <w:tcPr>
            <w:tcW w:w="11557" w:type="dxa"/>
          </w:tcPr>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（1）授课视频以知识点为基本单元，每段以15分钟内为宜。</w:t>
            </w:r>
          </w:p>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（2）如为学分课程，则每1个学分当量的课程学时应不少于16学时，每个学时教学视频长度不少于25分钟，或者整门课程的教学视频总长度不少于400分钟。</w:t>
            </w:r>
          </w:p>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（3）视频中可适当插入课间问答题，帮助学习及时巩固关键知识。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1242"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1980"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非视频教学资料</w:t>
            </w:r>
          </w:p>
        </w:tc>
        <w:tc>
          <w:tcPr>
            <w:tcW w:w="11557" w:type="dxa"/>
          </w:tcPr>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（1）除授课视频外，依据教学需要，课程还可提供音频、演示文稿、纯文字材料、文献、案例等资料。</w:t>
            </w:r>
          </w:p>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（2）需重视材料内容页面呈现的美观度，并保证所有的链接均可正常打开。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5" w:hRule="atLeast"/>
        </w:trPr>
        <w:tc>
          <w:tcPr>
            <w:tcW w:w="1242"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1980"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课堂讨论</w:t>
            </w:r>
          </w:p>
        </w:tc>
        <w:tc>
          <w:tcPr>
            <w:tcW w:w="11557" w:type="dxa"/>
          </w:tcPr>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（1）每个单元可适当安排一个或多个主题讨论。</w:t>
            </w:r>
          </w:p>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（2）教师团队需组织学生开展讨论，密切关注论坛情况，鼓励学生回答问题，及时答疑等，可采取发言计分、精华置顶并加分等方式鼓励学生发言，活跃论坛氛围，形成良好的互动学习社区。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6" w:hRule="atLeast"/>
        </w:trPr>
        <w:tc>
          <w:tcPr>
            <w:tcW w:w="1242"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1980"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练习和测验</w:t>
            </w:r>
          </w:p>
        </w:tc>
        <w:tc>
          <w:tcPr>
            <w:tcW w:w="11557" w:type="dxa"/>
          </w:tcPr>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（1）测验包括随堂练习和单元测验。</w:t>
            </w:r>
          </w:p>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kern w:val="0"/>
                <w:sz w:val="24"/>
                <w:szCs w:val="24"/>
              </w:rPr>
              <w:t>随堂练习可以穿插在教学视频间，方便学生即学即练，也便于老师随时考查学生对教学内容的理解和掌握程度，反思教学并及时改进，随堂练习一般不计入成绩；</w:t>
            </w:r>
          </w:p>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kern w:val="0"/>
                <w:sz w:val="24"/>
                <w:szCs w:val="24"/>
              </w:rPr>
              <w:t>单元测验一般安排在整个教学单元学习完成之后进行。</w:t>
            </w:r>
          </w:p>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（2）随堂练习和单元测验一般由客观题组成，题型可以是单一的单选题、多选题、判断题，或是上述多种题型的组合，课程平台支持自动判分。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5" w:hRule="atLeast"/>
        </w:trPr>
        <w:tc>
          <w:tcPr>
            <w:tcW w:w="1242"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1980"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作业</w:t>
            </w:r>
          </w:p>
        </w:tc>
        <w:tc>
          <w:tcPr>
            <w:tcW w:w="11557" w:type="dxa"/>
          </w:tcPr>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（1）相对完整的教学单元后应配套作业，并设置提交起止时间；</w:t>
            </w:r>
          </w:p>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（2）作业的形式可以是主观题、客观题，或是两者的组合；</w:t>
            </w:r>
          </w:p>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（3）主观题可以采用教师批改、学生互评的方式进行判分，后者需要平台功能支持。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0" w:hRule="atLeast"/>
        </w:trPr>
        <w:tc>
          <w:tcPr>
            <w:tcW w:w="1242"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1980"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考试</w:t>
            </w:r>
          </w:p>
        </w:tc>
        <w:tc>
          <w:tcPr>
            <w:tcW w:w="11557" w:type="dxa"/>
          </w:tcPr>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（1）考试是检测学生课程阶段性或整体学习情况的正式试题，每门课一般设一次期末考试。</w:t>
            </w:r>
          </w:p>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（2）试题满足测试目标的要求，涵盖考查范围内的主要知识点，考查内容的题量和试题难度分布应与教学内容结构一致，具有一定的效度和信度，前后顺序必须合理，试题之间不能相互提示，不能相互矛盾。</w:t>
            </w:r>
          </w:p>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（3）考试题型可以包括客观题、主观题及两者的组合题，客观题由平台自动判分，主观题可以采用机房或课堂统一考试、教师批改、学生互评的方式进行判分，后者需要平台功能支持。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9" w:hRule="atLeast"/>
        </w:trPr>
        <w:tc>
          <w:tcPr>
            <w:tcW w:w="1242"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1980"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资源库</w:t>
            </w:r>
          </w:p>
        </w:tc>
        <w:tc>
          <w:tcPr>
            <w:tcW w:w="11557" w:type="dxa"/>
          </w:tcPr>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（1）资源库是教师团队上传在课程网站上的所有教学资源的集合。</w:t>
            </w:r>
          </w:p>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教师可以事先或随时将所有与课程相关的教学资源上传至课程资源库，包括按照教学单元分类存放的教学视频、音频、和其他教学资料，以及日常收集的案例库、素材库、试题库、专题讲座库、参考资料、学科专业知识检索系统、演示/虚拟/仿真实验实训(实习)系统、常用软件和工具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5" w:hRule="atLeast"/>
        </w:trPr>
        <w:tc>
          <w:tcPr>
            <w:tcW w:w="1242"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1980"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教学数据</w:t>
            </w:r>
          </w:p>
        </w:tc>
        <w:tc>
          <w:tcPr>
            <w:tcW w:w="11557" w:type="dxa"/>
          </w:tcPr>
          <w:p>
            <w:pPr>
              <w:widowControl/>
              <w:spacing w:line="240" w:lineRule="atLeast"/>
              <w:ind w:left="12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线教学平台提供大量、客观的学习数据，如知识点视频学习时长和反刍比、测评的完成时间和正确率、讨论的活跃度、上线学习时间等，教师团队可以充分利用教学数据进行分析和反思，及时发现学生的难点、兴趣点以及教学中的不足，迭代修改在线课程。</w:t>
            </w:r>
          </w:p>
        </w:tc>
      </w:tr>
    </w:tbl>
    <w:p/>
    <w:p>
      <w:pPr>
        <w:rPr>
          <w:rFonts w:ascii="仿宋_GB2312" w:eastAsia="仿宋_GB2312"/>
          <w:b/>
          <w:bCs/>
          <w:kern w:val="44"/>
          <w:sz w:val="28"/>
          <w:szCs w:val="28"/>
        </w:rPr>
      </w:pPr>
      <w:r>
        <w:rPr>
          <w:rFonts w:hint="eastAsia" w:ascii="仿宋_GB2312" w:eastAsia="仿宋_GB2312"/>
          <w:b/>
          <w:bCs/>
          <w:kern w:val="44"/>
          <w:sz w:val="28"/>
          <w:szCs w:val="28"/>
        </w:rPr>
        <w:t>三</w:t>
      </w:r>
      <w:r>
        <w:rPr>
          <w:rFonts w:ascii="仿宋_GB2312" w:eastAsia="仿宋_GB2312"/>
          <w:b/>
          <w:bCs/>
          <w:kern w:val="44"/>
          <w:sz w:val="28"/>
          <w:szCs w:val="28"/>
        </w:rPr>
        <w:t>、</w:t>
      </w:r>
      <w:r>
        <w:rPr>
          <w:rFonts w:hint="eastAsia" w:ascii="仿宋_GB2312" w:eastAsia="仿宋_GB2312"/>
          <w:b/>
          <w:bCs/>
          <w:kern w:val="44"/>
          <w:sz w:val="28"/>
          <w:szCs w:val="28"/>
        </w:rPr>
        <w:t>课程设计要求</w:t>
      </w:r>
    </w:p>
    <w:p>
      <w:pPr>
        <w:rPr>
          <w:rFonts w:ascii="仿宋_GB2312" w:hAnsi="等线 Light" w:eastAsia="仿宋_GB2312"/>
          <w:bCs/>
          <w:sz w:val="28"/>
          <w:szCs w:val="28"/>
        </w:rPr>
      </w:pPr>
      <w:r>
        <w:rPr>
          <w:rFonts w:hint="eastAsia" w:ascii="仿宋_GB2312" w:hAnsi="等线 Light" w:eastAsia="仿宋_GB2312"/>
          <w:bCs/>
          <w:sz w:val="28"/>
          <w:szCs w:val="28"/>
        </w:rPr>
        <w:t>（一）线上课程设计</w:t>
      </w:r>
    </w:p>
    <w:p>
      <w:pPr>
        <w:rPr>
          <w:rFonts w:ascii="仿宋_GB2312" w:hAnsi="等线 Light" w:eastAsia="仿宋_GB2312"/>
          <w:bCs/>
          <w:sz w:val="28"/>
          <w:szCs w:val="28"/>
        </w:rPr>
      </w:pPr>
      <w:r>
        <w:rPr>
          <w:rFonts w:ascii="仿宋_GB2312" w:hAnsi="等线 Light" w:eastAsia="仿宋_GB2312"/>
          <w:bCs/>
          <w:sz w:val="28"/>
          <w:szCs w:val="28"/>
        </w:rPr>
        <w:t>目标：</w:t>
      </w:r>
      <w:r>
        <w:rPr>
          <w:rFonts w:hint="eastAsia" w:ascii="仿宋_GB2312" w:hAnsi="等线 Light" w:eastAsia="仿宋_GB2312"/>
          <w:bCs/>
          <w:sz w:val="28"/>
          <w:szCs w:val="28"/>
        </w:rPr>
        <w:t>学生可采用进阶式教程的形式自主学习，</w:t>
      </w:r>
      <w:r>
        <w:rPr>
          <w:rFonts w:ascii="仿宋_GB2312" w:hAnsi="等线 Light" w:eastAsia="仿宋_GB2312"/>
          <w:bCs/>
          <w:sz w:val="28"/>
          <w:szCs w:val="28"/>
        </w:rPr>
        <w:t>提高学习质量。</w:t>
      </w:r>
    </w:p>
    <w:p>
      <w:pPr>
        <w:rPr>
          <w:rFonts w:ascii="仿宋_GB2312" w:hAnsi="等线 Light" w:eastAsia="仿宋_GB2312"/>
          <w:bCs/>
          <w:sz w:val="28"/>
          <w:szCs w:val="28"/>
        </w:rPr>
      </w:pPr>
      <w:r>
        <w:rPr>
          <w:rFonts w:ascii="仿宋_GB2312" w:hAnsi="等线 Light" w:eastAsia="仿宋_GB2312"/>
          <w:bCs/>
          <w:sz w:val="28"/>
          <w:szCs w:val="28"/>
        </w:rPr>
        <w:t>内容：在线进阶式教程</w:t>
      </w:r>
    </w:p>
    <w:tbl>
      <w:tblPr>
        <w:tblStyle w:val="9"/>
        <w:tblW w:w="1499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60"/>
        <w:gridCol w:w="2010"/>
        <w:gridCol w:w="117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260"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2010"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w:t>
            </w:r>
          </w:p>
        </w:tc>
        <w:tc>
          <w:tcPr>
            <w:tcW w:w="11729"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建设上线标准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8" w:hRule="atLeast"/>
        </w:trPr>
        <w:tc>
          <w:tcPr>
            <w:tcW w:w="1260"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010"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w:t>
            </w:r>
          </w:p>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目录</w:t>
            </w:r>
          </w:p>
        </w:tc>
        <w:tc>
          <w:tcPr>
            <w:tcW w:w="11729" w:type="dxa"/>
          </w:tcPr>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（1）章节结构：课程目录应根据课程教学计划， 以章、节为目录结构 ；可根据需要设置绪论；可根据需要设置小节知识点；</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（2）章节学习规则：原则上不开启跨章学习；</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（3）章节简介：所有章节都有简介。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8" w:hRule="atLeast"/>
        </w:trPr>
        <w:tc>
          <w:tcPr>
            <w:tcW w:w="1260"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010"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课程视频</w:t>
            </w:r>
          </w:p>
        </w:tc>
        <w:tc>
          <w:tcPr>
            <w:tcW w:w="11729" w:type="dxa"/>
          </w:tcPr>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（1）按授课单元录制，每个视频针对1-2个知识点，要求结构完整；</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（2）每个知识点视频呈现5-15分钟为宜，最多不超过20分钟；</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（3）视频的片头和片尾的总长一般应控制在10秒以内；</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（4）时长超过5分钟的视频应插入弹题；</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（5）每个视频要设置弹题，弹题不计入成绩；</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（6）教学视频（不含素材）应不少于120分钟。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7" w:hRule="atLeast"/>
        </w:trPr>
        <w:tc>
          <w:tcPr>
            <w:tcW w:w="1260"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010"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章测试</w:t>
            </w:r>
          </w:p>
        </w:tc>
        <w:tc>
          <w:tcPr>
            <w:tcW w:w="11729" w:type="dxa"/>
          </w:tcPr>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（1）题数：每章应5道以上；</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（2）题型：客观题优先；如课程要求有主观题，请注意以下事项：</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a.给出批阅要点和评分标准；</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b.课程教学团队负责批阅；如果教学团队不承诺批阅，为保证公正的教学质量，教学团队应培训选课学校专业老师；</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（3）答案解析：每道题都应有答案解析，便于学生自行查阅。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1260"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010"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章讨论</w:t>
            </w:r>
          </w:p>
        </w:tc>
        <w:tc>
          <w:tcPr>
            <w:tcW w:w="11729" w:type="dxa"/>
          </w:tcPr>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（1）题数：每章应3道以上；</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（2）教学配合：教学团队应在教学过程中及时关注与回复。</w:t>
            </w:r>
          </w:p>
        </w:tc>
      </w:tr>
    </w:tbl>
    <w:p>
      <w:pPr>
        <w:rPr>
          <w:rFonts w:ascii="仿宋_GB2312" w:hAnsi="等线 Light" w:eastAsia="仿宋_GB2312"/>
          <w:bCs/>
          <w:sz w:val="28"/>
          <w:szCs w:val="28"/>
        </w:rPr>
      </w:pPr>
      <w:r>
        <w:rPr>
          <w:rFonts w:hint="eastAsia" w:ascii="仿宋_GB2312" w:hAnsi="等线 Light" w:eastAsia="仿宋_GB2312"/>
          <w:bCs/>
          <w:sz w:val="28"/>
          <w:szCs w:val="28"/>
        </w:rPr>
        <w:t>（二）线下见面课设计</w:t>
      </w:r>
    </w:p>
    <w:p>
      <w:pPr>
        <w:rPr>
          <w:rFonts w:ascii="仿宋_GB2312" w:hAnsi="等线 Light" w:eastAsia="仿宋_GB2312"/>
          <w:bCs/>
          <w:sz w:val="28"/>
          <w:szCs w:val="28"/>
        </w:rPr>
      </w:pPr>
      <w:r>
        <w:rPr>
          <w:rFonts w:ascii="仿宋_GB2312" w:hAnsi="等线 Light" w:eastAsia="仿宋_GB2312"/>
          <w:bCs/>
          <w:sz w:val="28"/>
          <w:szCs w:val="28"/>
        </w:rPr>
        <w:t>目标：</w:t>
      </w:r>
      <w:r>
        <w:rPr>
          <w:rFonts w:hint="eastAsia" w:ascii="仿宋_GB2312" w:hAnsi="等线 Light" w:eastAsia="仿宋_GB2312"/>
          <w:bCs/>
          <w:sz w:val="28"/>
          <w:szCs w:val="28"/>
        </w:rPr>
        <w:t>方便师生线下课堂教学、讨论互动</w:t>
      </w:r>
      <w:r>
        <w:rPr>
          <w:rFonts w:ascii="仿宋_GB2312" w:hAnsi="等线 Light" w:eastAsia="仿宋_GB2312"/>
          <w:bCs/>
          <w:sz w:val="28"/>
          <w:szCs w:val="28"/>
        </w:rPr>
        <w:t>。</w:t>
      </w:r>
    </w:p>
    <w:p>
      <w:pPr>
        <w:rPr>
          <w:rFonts w:ascii="仿宋_GB2312" w:hAnsi="等线 Light" w:eastAsia="仿宋_GB2312"/>
          <w:bCs/>
          <w:sz w:val="28"/>
          <w:szCs w:val="28"/>
        </w:rPr>
      </w:pPr>
      <w:r>
        <w:rPr>
          <w:rFonts w:ascii="仿宋_GB2312" w:hAnsi="等线 Light" w:eastAsia="仿宋_GB2312"/>
          <w:bCs/>
          <w:sz w:val="28"/>
          <w:szCs w:val="28"/>
        </w:rPr>
        <w:t>内容：线下见面课设计</w:t>
      </w:r>
    </w:p>
    <w:tbl>
      <w:tblPr>
        <w:tblStyle w:val="9"/>
        <w:tblpPr w:leftFromText="180" w:rightFromText="180" w:vertAnchor="text" w:horzAnchor="page" w:tblpX="1579" w:tblpY="2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218"/>
        <w:gridCol w:w="1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074"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221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w:t>
            </w:r>
          </w:p>
        </w:tc>
        <w:tc>
          <w:tcPr>
            <w:tcW w:w="1104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建设上线标准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74"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21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学时安排</w:t>
            </w:r>
          </w:p>
        </w:tc>
        <w:tc>
          <w:tcPr>
            <w:tcW w:w="1104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有条件开展直播教学的学校，</w:t>
            </w:r>
            <w:r>
              <w:rPr>
                <w:rFonts w:hint="eastAsia" w:ascii="仿宋_GB2312" w:hAnsi="仿宋_GB2312" w:eastAsia="仿宋_GB2312" w:cs="仿宋_GB2312"/>
                <w:kern w:val="0"/>
                <w:sz w:val="24"/>
                <w:szCs w:val="24"/>
              </w:rPr>
              <w:t>每次见面课建议2学时，其中直播课建议4次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074"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21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类型</w:t>
            </w:r>
          </w:p>
        </w:tc>
        <w:tc>
          <w:tcPr>
            <w:tcW w:w="1104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（1）讨论课：主题一致，各选课学校配备老师自行组织学生讨论，教学团队需在课前与各选课学校老师沟通教学目的、组织学生方式、讨论内容等；</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（2）实践课：主题一致，各选课学校配备老师自行组织学生实践，教学团队需在课前与各选课学校老师沟通教学目的、组织学生方式、讨论内容等；</w:t>
            </w:r>
          </w:p>
          <w:p>
            <w:pPr>
              <w:widowControl/>
              <w:spacing w:line="240" w:lineRule="atLeast"/>
              <w:jc w:val="left"/>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（3）直播课：条件成熟的学校可开展直播互动教学。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074"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21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授课模式</w:t>
            </w:r>
          </w:p>
        </w:tc>
        <w:tc>
          <w:tcPr>
            <w:tcW w:w="1104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（1）要求：翻转课堂，让学生走上讲台，避免一言堂。</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（2）模式：</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a.主题研讨课：主题讨论互动，跨校学生碰撞思维。面授时间安排建议：老师主讲（</w:t>
            </w:r>
            <w:r>
              <w:rPr>
                <w:rFonts w:hint="eastAsia" w:ascii="仿宋_GB2312" w:hAnsi="仿宋_GB2312" w:eastAsia="仿宋_GB2312" w:cs="仿宋_GB2312"/>
                <w:b/>
                <w:kern w:val="0"/>
                <w:sz w:val="24"/>
                <w:szCs w:val="24"/>
              </w:rPr>
              <w:t>20分钟）+让学生上台发表看法，互动（50分钟）+老师总结（20分钟）；</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b.主题汇报课：提前准备，课中让学生走上讲台，汇报学习结果；</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c.老师访谈课：多个主讲老师就几个热点主题进行现场研讨，共同授课；</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d.集中答疑课：老师针对线上汇总问题、现场问题、跨校学生问题进行集中答疑。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074"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21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考核说明</w:t>
            </w:r>
          </w:p>
        </w:tc>
        <w:tc>
          <w:tcPr>
            <w:tcW w:w="1104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（1）总分：应明确每次见面课的分数构成，包括出勤分和表现分；每次见面课总分不能相差很远。</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（2）得分参考点：</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a.出勤分根据不同参与方式设置分数等级，如在教室上课、网上看直播、请假并看回放、直接看回放等；</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b.表现分可以依据组长称职、现场举手互动、线上提问、课前准备情况（是否交作业）等表现情况给分。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1074"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21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见面课设计</w:t>
            </w:r>
          </w:p>
        </w:tc>
        <w:tc>
          <w:tcPr>
            <w:tcW w:w="1104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（1）教程设计内容：每次见面课应明确本次面授内容、教学目的、教师要点说明、学生组织说明、评价与成绩说明、资源配套说明；</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（2）每次见面课安排与学生互动应至少45分钟；</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（3）应明确每次见面课前需要达到的在线教程学习的章节进度；</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（4）应明确每次见面课主讲老师和助教；</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（5）线下需要提交《见面课教程PPT》。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74"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221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总助教职责</w:t>
            </w:r>
          </w:p>
        </w:tc>
        <w:tc>
          <w:tcPr>
            <w:tcW w:w="11047" w:type="dxa"/>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课前：提醒选课学校学生准备；</w:t>
            </w:r>
          </w:p>
          <w:p>
            <w:pPr>
              <w:widowControl/>
              <w:numPr>
                <w:ilvl w:val="0"/>
                <w:numId w:val="4"/>
              </w:numPr>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课中：配合授课过程；</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（3）课后：督促选课学校成绩录入。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074"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221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应急预案</w:t>
            </w:r>
          </w:p>
        </w:tc>
        <w:tc>
          <w:tcPr>
            <w:tcW w:w="1104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（1）应准备符合内容的见面课视频，防止由于教室未开启、老师未到场等发生的教学事故。</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（2）备用视频要求：</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a.对于新课程，应准备2学时课程扩展内容的讲课视频；</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b.对于运行过的课程，可准备之前见面课视频。</w:t>
            </w:r>
          </w:p>
        </w:tc>
      </w:tr>
    </w:tbl>
    <w:p>
      <w:pPr>
        <w:rPr>
          <w:rFonts w:hint="eastAsia" w:ascii="仿宋_GB2312" w:eastAsia="仿宋_GB2312"/>
          <w:b/>
          <w:sz w:val="28"/>
          <w:szCs w:val="28"/>
        </w:rPr>
      </w:pPr>
    </w:p>
    <w:p>
      <w:pPr>
        <w:rPr>
          <w:rFonts w:ascii="仿宋" w:hAnsi="仿宋" w:eastAsia="仿宋" w:cs="仿宋"/>
          <w:kern w:val="0"/>
          <w:sz w:val="28"/>
          <w:szCs w:val="28"/>
        </w:rPr>
      </w:pPr>
      <w:r>
        <w:rPr>
          <w:rFonts w:hint="eastAsia" w:ascii="仿宋_GB2312" w:eastAsia="仿宋_GB2312"/>
          <w:b/>
          <w:sz w:val="28"/>
          <w:szCs w:val="28"/>
        </w:rPr>
        <w:t>（三）</w:t>
      </w:r>
      <w:r>
        <w:rPr>
          <w:rFonts w:hint="eastAsia" w:ascii="仿宋" w:hAnsi="仿宋" w:eastAsia="仿宋" w:cs="仿宋"/>
          <w:kern w:val="0"/>
          <w:sz w:val="28"/>
          <w:szCs w:val="28"/>
        </w:rPr>
        <w:t>课程考核标准设计</w:t>
      </w:r>
    </w:p>
    <w:p>
      <w:pPr>
        <w:rPr>
          <w:rFonts w:ascii="仿宋_GB2312" w:hAnsi="等线 Light" w:eastAsia="仿宋_GB2312"/>
          <w:bCs/>
          <w:sz w:val="28"/>
          <w:szCs w:val="28"/>
        </w:rPr>
      </w:pPr>
      <w:r>
        <w:rPr>
          <w:rFonts w:ascii="仿宋_GB2312" w:hAnsi="等线 Light" w:eastAsia="仿宋_GB2312"/>
          <w:bCs/>
          <w:sz w:val="28"/>
          <w:szCs w:val="28"/>
        </w:rPr>
        <w:t>目标：</w:t>
      </w:r>
      <w:r>
        <w:rPr>
          <w:rFonts w:hint="eastAsia" w:ascii="仿宋_GB2312" w:hAnsi="等线 Light" w:eastAsia="仿宋_GB2312"/>
          <w:bCs/>
          <w:sz w:val="28"/>
          <w:szCs w:val="28"/>
        </w:rPr>
        <w:t>学习从结果性考核转向过程性考核</w:t>
      </w:r>
      <w:r>
        <w:rPr>
          <w:rFonts w:ascii="仿宋_GB2312" w:hAnsi="等线 Light" w:eastAsia="仿宋_GB2312"/>
          <w:bCs/>
          <w:sz w:val="28"/>
          <w:szCs w:val="28"/>
        </w:rPr>
        <w:t>。</w:t>
      </w:r>
    </w:p>
    <w:p>
      <w:pPr>
        <w:rPr>
          <w:rFonts w:ascii="仿宋_GB2312" w:eastAsia="仿宋_GB2312"/>
          <w:b/>
          <w:sz w:val="28"/>
          <w:szCs w:val="28"/>
        </w:rPr>
      </w:pPr>
      <w:r>
        <w:rPr>
          <w:rFonts w:ascii="仿宋_GB2312" w:hAnsi="等线 Light" w:eastAsia="仿宋_GB2312"/>
          <w:bCs/>
          <w:sz w:val="28"/>
          <w:szCs w:val="28"/>
        </w:rPr>
        <w:t>内容：课程考核方式</w:t>
      </w:r>
    </w:p>
    <w:tbl>
      <w:tblPr>
        <w:tblStyle w:val="9"/>
        <w:tblpPr w:leftFromText="180" w:rightFromText="180" w:vertAnchor="text" w:horzAnchor="page" w:tblpX="1564" w:tblpY="2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450"/>
        <w:gridCol w:w="1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w:t>
            </w:r>
          </w:p>
        </w:tc>
        <w:tc>
          <w:tcPr>
            <w:tcW w:w="1129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建设上线标准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成绩组成构成</w:t>
            </w:r>
          </w:p>
        </w:tc>
        <w:tc>
          <w:tcPr>
            <w:tcW w:w="1129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（1）成绩小项：在线学习成绩、见面课成绩和期末考试成绩组成。每小项成绩占比不能超过50%。</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（2）论坛讨论成绩：</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a.如果设置论坛讨论成绩，可选择计入100分内，即论坛讨论是必修的，</w:t>
            </w:r>
            <w:r>
              <w:rPr>
                <w:rFonts w:hint="eastAsia" w:ascii="仿宋_GB2312" w:hAnsi="仿宋_GB2312" w:eastAsia="仿宋_GB2312" w:cs="仿宋_GB2312"/>
                <w:b/>
                <w:kern w:val="0"/>
                <w:sz w:val="24"/>
                <w:szCs w:val="24"/>
              </w:rPr>
              <w:t>论坛讨论成绩应不超过10分；</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课程成绩100%=在线学习成绩占比+见面课成绩占比+期末考试成绩占比+论坛讨论成绩占比；</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b.如论坛讨论成绩不计入100分内，则论坛讨论不是必修的，算加分项；</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课程成绩100%=在线学习成绩占比+见面课成绩占比+期末考试成绩占比</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（3）学生总成绩不超过100分。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在线学习成绩</w:t>
            </w:r>
          </w:p>
        </w:tc>
        <w:tc>
          <w:tcPr>
            <w:tcW w:w="1129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根据课程总学习进度和章测试成绩决定。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见面课成绩</w:t>
            </w:r>
          </w:p>
        </w:tc>
        <w:tc>
          <w:tcPr>
            <w:tcW w:w="1129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（1）仅混合式课程包括此项得分。</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（2）依据出勤分和现场表现分决定，每次见面课起分点由开课老师设置。</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（3）如果是直播课：</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a.在教室上课计出勤分，现场表现如果现场互动积极加分； </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b.在网上看直播超过80%时长算出勤，线上问问题可酌情加现场表现分；</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c.请假并看回放计出勤分，不计现场表现分；</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d.直接看回放是否算出勤由老师决定，但不计现场表现分。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期末考核成绩</w:t>
            </w:r>
          </w:p>
        </w:tc>
        <w:tc>
          <w:tcPr>
            <w:tcW w:w="1129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按照课程要求的考试方式进行考试。</w:t>
            </w:r>
          </w:p>
        </w:tc>
      </w:tr>
    </w:tbl>
    <w:p>
      <w:pPr>
        <w:rPr>
          <w:rFonts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（四）课程推广</w:t>
      </w:r>
    </w:p>
    <w:p>
      <w:pPr>
        <w:rPr>
          <w:rFonts w:ascii="仿宋_GB2312" w:eastAsia="仿宋_GB2312"/>
          <w:sz w:val="28"/>
          <w:szCs w:val="28"/>
        </w:rPr>
      </w:pPr>
      <w:r>
        <w:rPr>
          <w:rFonts w:ascii="仿宋_GB2312" w:eastAsia="仿宋_GB2312"/>
          <w:sz w:val="28"/>
          <w:szCs w:val="28"/>
        </w:rPr>
        <w:t>目标：</w:t>
      </w:r>
      <w:r>
        <w:rPr>
          <w:rFonts w:hint="eastAsia" w:ascii="仿宋_GB2312" w:eastAsia="仿宋_GB2312"/>
          <w:sz w:val="28"/>
          <w:szCs w:val="28"/>
        </w:rPr>
        <w:t>让选课学校的教师与学生了解课程的基本信息。</w:t>
      </w:r>
    </w:p>
    <w:p>
      <w:pPr>
        <w:rPr>
          <w:rFonts w:ascii="仿宋_GB2312" w:eastAsia="仿宋_GB2312"/>
          <w:sz w:val="28"/>
          <w:szCs w:val="28"/>
        </w:rPr>
      </w:pPr>
      <w:r>
        <w:rPr>
          <w:rFonts w:ascii="仿宋_GB2312" w:eastAsia="仿宋_GB2312"/>
          <w:sz w:val="28"/>
          <w:szCs w:val="28"/>
        </w:rPr>
        <w:t>内容：课程</w:t>
      </w:r>
      <w:r>
        <w:rPr>
          <w:rFonts w:hint="eastAsia" w:ascii="仿宋_GB2312" w:eastAsia="仿宋_GB2312"/>
          <w:sz w:val="28"/>
          <w:szCs w:val="28"/>
        </w:rPr>
        <w:t xml:space="preserve">选课推广           </w:t>
      </w:r>
    </w:p>
    <w:tbl>
      <w:tblPr>
        <w:tblStyle w:val="9"/>
        <w:tblW w:w="0" w:type="auto"/>
        <w:tblInd w:w="-29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54"/>
        <w:gridCol w:w="1572"/>
        <w:gridCol w:w="100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2654"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1572"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w:t>
            </w:r>
          </w:p>
        </w:tc>
        <w:tc>
          <w:tcPr>
            <w:tcW w:w="10012"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建设上线标准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2654"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572"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w:t>
            </w:r>
          </w:p>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片花</w:t>
            </w:r>
          </w:p>
        </w:tc>
        <w:tc>
          <w:tcPr>
            <w:tcW w:w="10012" w:type="dxa"/>
          </w:tcPr>
          <w:p>
            <w:pPr>
              <w:widowControl/>
              <w:numPr>
                <w:ilvl w:val="0"/>
                <w:numId w:val="5"/>
              </w:numPr>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课程特色的精彩片花或宣传片，原则上3分钟以内； </w:t>
            </w:r>
          </w:p>
          <w:p>
            <w:pPr>
              <w:widowControl/>
              <w:numPr>
                <w:ilvl w:val="0"/>
                <w:numId w:val="5"/>
              </w:numPr>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应包含的元素：教学目标、内容简介、团队介绍、学习方法、考核方式、入门知识要求等。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2654" w:type="dxa"/>
            <w:vAlign w:val="center"/>
          </w:tcPr>
          <w:p>
            <w:pPr>
              <w:widowControl/>
              <w:spacing w:line="240" w:lineRule="atLeast"/>
              <w:jc w:val="center"/>
              <w:rPr>
                <w:rFonts w:hint="eastAsia" w:ascii="仿宋_GB2312" w:hAnsi="仿宋_GB2312" w:eastAsia="仿宋_GB2312" w:cs="仿宋_GB2312"/>
                <w:kern w:val="0"/>
                <w:sz w:val="24"/>
                <w:szCs w:val="24"/>
              </w:rPr>
            </w:pPr>
          </w:p>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572"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w:t>
            </w:r>
          </w:p>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网站</w:t>
            </w:r>
          </w:p>
        </w:tc>
        <w:tc>
          <w:tcPr>
            <w:tcW w:w="10012" w:type="dxa"/>
          </w:tcPr>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应包含的内容有：教师信息、课程介绍、教学计划、最新招生计划、教学评价、课程开放资源等。</w:t>
            </w:r>
          </w:p>
        </w:tc>
      </w:tr>
    </w:tbl>
    <w:p>
      <w:pPr>
        <w:pStyle w:val="2"/>
        <w:spacing w:before="156" w:after="156"/>
        <w:rPr>
          <w:rFonts w:ascii="仿宋_GB2312" w:eastAsia="仿宋_GB2312"/>
          <w:sz w:val="28"/>
          <w:szCs w:val="28"/>
        </w:rPr>
      </w:pPr>
      <w:bookmarkStart w:id="17" w:name="_Toc17095"/>
      <w:r>
        <w:rPr>
          <w:rFonts w:hint="eastAsia" w:ascii="仿宋_GB2312" w:eastAsia="仿宋_GB2312"/>
          <w:sz w:val="28"/>
          <w:szCs w:val="28"/>
        </w:rPr>
        <w:t>四、教学视频录制要求</w:t>
      </w:r>
      <w:bookmarkEnd w:id="17"/>
    </w:p>
    <w:tbl>
      <w:tblPr>
        <w:tblStyle w:val="9"/>
        <w:tblW w:w="0" w:type="auto"/>
        <w:tblInd w:w="-29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28"/>
        <w:gridCol w:w="1616"/>
        <w:gridCol w:w="102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 w:hRule="atLeast"/>
        </w:trPr>
        <w:tc>
          <w:tcPr>
            <w:tcW w:w="2728"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1616"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w:t>
            </w:r>
          </w:p>
        </w:tc>
        <w:tc>
          <w:tcPr>
            <w:tcW w:w="10294"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建设上线标准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2728"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616"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视频画面</w:t>
            </w:r>
          </w:p>
        </w:tc>
        <w:tc>
          <w:tcPr>
            <w:tcW w:w="10294" w:type="dxa"/>
          </w:tcPr>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（1）课程以知识点为中心划分为最小单元，每小节时长一般不超过15分钟。在视频的后期制作中，应编辑删除与教学无关的内容。</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（2）屏幕图像的构图合理，画面主体突出。人像及肢体动作以及配合讲授选用的板书、画板、教具实物、模型和实验设备等均不能超出镜头所及范围。 </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（3）演播室使用的背景采用彩色喷绘或电脑虚拟、实景等背景。背景的颜色、图案不易过多，应保持静态，画面应简洁、明快，有利于营造课堂气氛。 </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（4）摄像镜头应保持与主讲教师目光平视的角度。主讲教师不应较长时间仰视或俯视。 </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（5）使用资料、图片、外景实拍、实验和表演等形象化教学手段，应符合教学内容要求，与讲授内容联系紧密，手段选用恰当。 </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（6）选用影视作品或自拍素材，应注明素材来源。影视作品或自拍素材中涉及人物访谈内容时，除应加注人物介绍外，还应采用滚动式同声字幕。</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（7）选用的资料、图片等素材画面应清楚，对于历史资料、图片应进行再加工。选用的资料、图片等素材应注明素材来源及原始信息（如字画的作品、生卒年月，影视片断的作品名称、创作年代等信息）。 </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（8）动画的设计与使用，要与课程内容相贴切，能够发挥良好的教学效果；动画须流畅、合理、图像清晰，具有较强的可视性。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9" w:hRule="atLeast"/>
        </w:trPr>
        <w:tc>
          <w:tcPr>
            <w:tcW w:w="2728"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616" w:type="dxa"/>
            <w:vAlign w:val="center"/>
          </w:tcPr>
          <w:p>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视频技术要求</w:t>
            </w:r>
          </w:p>
        </w:tc>
        <w:tc>
          <w:tcPr>
            <w:tcW w:w="10294" w:type="dxa"/>
          </w:tcPr>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（1）录制场地应尽可能选择专业录影棚或者与课程主题相关的场地。录制现场需要光线充足、环境安静、整洁，避免在镜头中出现有广告嫌疑或与课程无关的标识等内容。</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（2）录制方式及设备</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a.拍摄方式：根据课程内容，采用多机位（1-3机位）拍摄，机位设置应满足完整记录课堂全部教学活动的要求。</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b.录像设备：摄像机要求尽可能采用不低于1920×1080分辨率的专业级数字设备，或者在光线充足的情况下不低于1280×720分辨率的普通设备。</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c.录音设备：使用专业级录音设备包括但不仅限于小蜜蜂、定向录音话筒、吊MIC等以保证整体录音质量。</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（3）视频压缩格式及技术参数</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视频压缩采用H.264/AVC (MPEG-4 Part10)编码、使用二次编码、不包含字幕的MP4格式；视频拍摄时用1920×1080的分辨率以及16:9的比例拍摄，成片输出1920×1080以及1280×720两种分辨率；1280×720动态码流的最高码率不高于4M，最低码率不得低于1.5M。</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（4）音频压缩格式及技术参数</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音频压缩采用AAC(MPEG4 Part3)格式；采样率48KHz；音频码流率128Kbps (恒定)；必须是双声道，必须做混音处理。</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（5）视频采用MP4封装。</w:t>
            </w:r>
          </w:p>
          <w:p>
            <w:pPr>
              <w:widowControl/>
              <w:spacing w:line="240"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（6）外挂唱词文件为独立的SRT格式的唱词文件。</w:t>
            </w:r>
          </w:p>
        </w:tc>
      </w:tr>
    </w:tbl>
    <w:p>
      <w:pPr>
        <w:ind w:firstLine="480" w:firstLineChars="200"/>
        <w:rPr>
          <w:rFonts w:hint="eastAsia" w:ascii="仿宋_GB2312" w:hAnsi="仿宋_GB2312" w:eastAsia="仿宋_GB2312" w:cs="仿宋_GB2312"/>
          <w:sz w:val="24"/>
          <w:szCs w:val="24"/>
        </w:rPr>
      </w:pPr>
      <w:bookmarkStart w:id="18" w:name="_GoBack"/>
      <w:bookmarkEnd w:id="18"/>
    </w:p>
    <w:sectPr>
      <w:footerReference r:id="rId3" w:type="default"/>
      <w:pgSz w:w="16838" w:h="11906" w:orient="landscape"/>
      <w:pgMar w:top="964" w:right="964" w:bottom="964" w:left="96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00000287"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8BDF5E"/>
    <w:multiLevelType w:val="singleLevel"/>
    <w:tmpl w:val="AD8BDF5E"/>
    <w:lvl w:ilvl="0" w:tentative="0">
      <w:start w:val="1"/>
      <w:numFmt w:val="decimal"/>
      <w:suff w:val="nothing"/>
      <w:lvlText w:val="（%1）"/>
      <w:lvlJc w:val="left"/>
    </w:lvl>
  </w:abstractNum>
  <w:abstractNum w:abstractNumId="1">
    <w:nsid w:val="0F4F933F"/>
    <w:multiLevelType w:val="singleLevel"/>
    <w:tmpl w:val="0F4F933F"/>
    <w:lvl w:ilvl="0" w:tentative="0">
      <w:start w:val="1"/>
      <w:numFmt w:val="decimal"/>
      <w:suff w:val="nothing"/>
      <w:lvlText w:val="（%1）"/>
      <w:lvlJc w:val="left"/>
    </w:lvl>
  </w:abstractNum>
  <w:abstractNum w:abstractNumId="2">
    <w:nsid w:val="30394552"/>
    <w:multiLevelType w:val="multilevel"/>
    <w:tmpl w:val="30394552"/>
    <w:lvl w:ilvl="0" w:tentative="0">
      <w:start w:val="1"/>
      <w:numFmt w:val="decimalEnclosedFullstop"/>
      <w:lvlText w:val="%1"/>
      <w:lvlJc w:val="left"/>
      <w:pPr>
        <w:ind w:left="360" w:hanging="360"/>
      </w:pPr>
      <w:rPr>
        <w:rFonts w:hint="default" w:ascii="仿宋_GB2312" w:eastAsia="仿宋_GB2312"/>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BCE788F"/>
    <w:multiLevelType w:val="singleLevel"/>
    <w:tmpl w:val="5BCE788F"/>
    <w:lvl w:ilvl="0" w:tentative="0">
      <w:start w:val="1"/>
      <w:numFmt w:val="decimal"/>
      <w:suff w:val="nothing"/>
      <w:lvlText w:val="（%1）"/>
      <w:lvlJc w:val="left"/>
    </w:lvl>
  </w:abstractNum>
  <w:abstractNum w:abstractNumId="4">
    <w:nsid w:val="5BCE8DB9"/>
    <w:multiLevelType w:val="singleLevel"/>
    <w:tmpl w:val="5BCE8DB9"/>
    <w:lvl w:ilvl="0" w:tentative="0">
      <w:start w:val="1"/>
      <w:numFmt w:val="decimal"/>
      <w:suff w:val="nothing"/>
      <w:lvlText w:val="（%1）"/>
      <w:lvlJc w:val="left"/>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7E3"/>
    <w:rsid w:val="00092DE0"/>
    <w:rsid w:val="001D2EB0"/>
    <w:rsid w:val="001F638B"/>
    <w:rsid w:val="00201452"/>
    <w:rsid w:val="0021290D"/>
    <w:rsid w:val="0023620F"/>
    <w:rsid w:val="002B27E5"/>
    <w:rsid w:val="0035607D"/>
    <w:rsid w:val="00356FA2"/>
    <w:rsid w:val="0039406F"/>
    <w:rsid w:val="003B01CD"/>
    <w:rsid w:val="003D0571"/>
    <w:rsid w:val="0043632B"/>
    <w:rsid w:val="00463111"/>
    <w:rsid w:val="004C1B88"/>
    <w:rsid w:val="004D34C2"/>
    <w:rsid w:val="00534047"/>
    <w:rsid w:val="00550E6D"/>
    <w:rsid w:val="005C5517"/>
    <w:rsid w:val="005D06DD"/>
    <w:rsid w:val="006473DA"/>
    <w:rsid w:val="00656174"/>
    <w:rsid w:val="00690A3F"/>
    <w:rsid w:val="0069372A"/>
    <w:rsid w:val="00700C15"/>
    <w:rsid w:val="00707CD8"/>
    <w:rsid w:val="007467F2"/>
    <w:rsid w:val="00755012"/>
    <w:rsid w:val="007F2AF7"/>
    <w:rsid w:val="007F7577"/>
    <w:rsid w:val="0086451A"/>
    <w:rsid w:val="008924DF"/>
    <w:rsid w:val="00924532"/>
    <w:rsid w:val="009437E3"/>
    <w:rsid w:val="0096291F"/>
    <w:rsid w:val="00973FEF"/>
    <w:rsid w:val="009A688C"/>
    <w:rsid w:val="00A03F81"/>
    <w:rsid w:val="00B27C10"/>
    <w:rsid w:val="00B601D4"/>
    <w:rsid w:val="00B75F22"/>
    <w:rsid w:val="00B7695D"/>
    <w:rsid w:val="00BB51B6"/>
    <w:rsid w:val="00C05194"/>
    <w:rsid w:val="00C42F7E"/>
    <w:rsid w:val="00C83447"/>
    <w:rsid w:val="00C9318F"/>
    <w:rsid w:val="00CF0872"/>
    <w:rsid w:val="00CF5F00"/>
    <w:rsid w:val="00DB2E19"/>
    <w:rsid w:val="00DD7571"/>
    <w:rsid w:val="00DE353A"/>
    <w:rsid w:val="00DF68DE"/>
    <w:rsid w:val="00F56751"/>
    <w:rsid w:val="00FD0027"/>
    <w:rsid w:val="0242443A"/>
    <w:rsid w:val="04413BB1"/>
    <w:rsid w:val="07512A7D"/>
    <w:rsid w:val="27C86AF2"/>
    <w:rsid w:val="305A2A45"/>
    <w:rsid w:val="3B14532E"/>
    <w:rsid w:val="3FB825FF"/>
    <w:rsid w:val="57ED595F"/>
    <w:rsid w:val="58936FCB"/>
    <w:rsid w:val="5C8278D3"/>
    <w:rsid w:val="6B470845"/>
    <w:rsid w:val="75053D76"/>
    <w:rsid w:val="77644F4C"/>
    <w:rsid w:val="7F5C7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eastAsia="仿宋_GB2312" w:asciiTheme="minorAscii" w:hAnsiTheme="minorAscii"/>
      <w:b/>
      <w:bCs/>
      <w:kern w:val="44"/>
      <w:sz w:val="30"/>
      <w:szCs w:val="44"/>
    </w:rPr>
  </w:style>
  <w:style w:type="paragraph" w:styleId="3">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uiPriority w:val="39"/>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1">
    <w:name w:val="Hyperlink"/>
    <w:basedOn w:val="10"/>
    <w:semiHidden/>
    <w:unhideWhenUsed/>
    <w:uiPriority w:val="99"/>
    <w:rPr>
      <w:color w:val="0000FF"/>
      <w:u w:val="single"/>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sz w:val="18"/>
      <w:szCs w:val="18"/>
    </w:rPr>
  </w:style>
  <w:style w:type="character" w:customStyle="1" w:styleId="15">
    <w:name w:val="wbb11"/>
    <w:qFormat/>
    <w:uiPriority w:val="0"/>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21424</Words>
  <Characters>21740</Characters>
  <Lines>97</Lines>
  <Paragraphs>27</Paragraphs>
  <TotalTime>28</TotalTime>
  <ScaleCrop>false</ScaleCrop>
  <LinksUpToDate>false</LinksUpToDate>
  <CharactersWithSpaces>21858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2017-06-20T09:37:00Z</dcterms:created>
  <dc:creator>րଡ଼</dc:creator>
  <cp:lastModifiedBy>1111111</cp:lastModifiedBy>
  <cp:lastPrinted>2017-06-23T03:44:00Z</cp:lastPrinted>
  <dcterms:modified xsi:type="dcterms:W3CDTF">2021-01-04T02:43:21Z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