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sz w:val="32"/>
          <w:szCs w:val="32"/>
          <w:lang w:val="en-US" w:eastAsia="zh-CN"/>
        </w:rPr>
      </w:pPr>
      <w:r>
        <w:rPr>
          <w:rFonts w:hint="eastAsia"/>
          <w:sz w:val="28"/>
          <w:szCs w:val="28"/>
          <w:lang w:val="en-US" w:eastAsia="zh-CN"/>
        </w:rPr>
        <w:t>附件2：</w:t>
      </w:r>
      <w:r>
        <w:rPr>
          <w:rFonts w:hint="eastAsia"/>
          <w:sz w:val="32"/>
          <w:szCs w:val="32"/>
          <w:lang w:val="en-US" w:eastAsia="zh-CN"/>
        </w:rPr>
        <w:t xml:space="preserve"> </w:t>
      </w:r>
    </w:p>
    <w:p>
      <w:pPr>
        <w:spacing w:line="520" w:lineRule="exact"/>
        <w:jc w:val="center"/>
        <w:rPr>
          <w:rFonts w:ascii="仿宋_GB2312" w:eastAsia="仿宋_GB2312"/>
          <w:b/>
          <w:bCs/>
          <w:sz w:val="32"/>
          <w:szCs w:val="32"/>
        </w:rPr>
      </w:pPr>
      <w:r>
        <w:rPr>
          <w:rFonts w:hint="eastAsia"/>
          <w:b/>
          <w:bCs/>
          <w:sz w:val="32"/>
          <w:szCs w:val="32"/>
          <w:lang w:val="en-US" w:eastAsia="zh-CN"/>
        </w:rPr>
        <w:t>自评表</w:t>
      </w:r>
    </w:p>
    <w:tbl>
      <w:tblPr>
        <w:tblStyle w:val="3"/>
        <w:tblpPr w:leftFromText="180" w:rightFromText="180" w:vertAnchor="page" w:horzAnchor="margin" w:tblpXSpec="center" w:tblpY="2341"/>
        <w:tblW w:w="14948" w:type="dxa"/>
        <w:tblInd w:w="0" w:type="dxa"/>
        <w:tblLayout w:type="fixed"/>
        <w:tblCellMar>
          <w:top w:w="0" w:type="dxa"/>
          <w:left w:w="108" w:type="dxa"/>
          <w:bottom w:w="0" w:type="dxa"/>
          <w:right w:w="108" w:type="dxa"/>
        </w:tblCellMar>
      </w:tblPr>
      <w:tblGrid>
        <w:gridCol w:w="1279"/>
        <w:gridCol w:w="1500"/>
        <w:gridCol w:w="5325"/>
        <w:gridCol w:w="525"/>
        <w:gridCol w:w="645"/>
        <w:gridCol w:w="4560"/>
        <w:gridCol w:w="1114"/>
      </w:tblGrid>
      <w:tr>
        <w:tblPrEx>
          <w:tblLayout w:type="fixed"/>
          <w:tblCellMar>
            <w:top w:w="0" w:type="dxa"/>
            <w:left w:w="108" w:type="dxa"/>
            <w:bottom w:w="0" w:type="dxa"/>
            <w:right w:w="108" w:type="dxa"/>
          </w:tblCellMar>
        </w:tblPrEx>
        <w:trPr>
          <w:trHeight w:val="908" w:hRule="atLeast"/>
        </w:trPr>
        <w:tc>
          <w:tcPr>
            <w:tcW w:w="12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一级</w:t>
            </w:r>
          </w:p>
          <w:p>
            <w:pPr>
              <w:widowControl/>
              <w:jc w:val="center"/>
              <w:rPr>
                <w:rFonts w:ascii="宋体" w:hAnsi="宋体" w:eastAsia="宋体" w:cs="宋体"/>
                <w:b/>
                <w:bCs/>
                <w:kern w:val="0"/>
                <w:szCs w:val="21"/>
              </w:rPr>
            </w:pPr>
            <w:r>
              <w:rPr>
                <w:rFonts w:hint="eastAsia" w:ascii="宋体" w:hAnsi="宋体" w:eastAsia="宋体" w:cs="宋体"/>
                <w:b/>
                <w:bCs/>
                <w:kern w:val="0"/>
                <w:szCs w:val="21"/>
              </w:rPr>
              <w:t>指标</w:t>
            </w: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二级指标</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内容与标准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分值</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自评得分</w:t>
            </w: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存在的问题及优化方案</w:t>
            </w: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专家评分</w:t>
            </w:r>
          </w:p>
        </w:tc>
      </w:tr>
      <w:tr>
        <w:tblPrEx>
          <w:tblLayout w:type="fixed"/>
          <w:tblCellMar>
            <w:top w:w="0" w:type="dxa"/>
            <w:left w:w="108" w:type="dxa"/>
            <w:bottom w:w="0" w:type="dxa"/>
            <w:right w:w="108" w:type="dxa"/>
          </w:tblCellMar>
        </w:tblPrEx>
        <w:trPr>
          <w:trHeight w:val="1248" w:hRule="atLeast"/>
        </w:trPr>
        <w:tc>
          <w:tcPr>
            <w:tcW w:w="1279"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1.专业定位（6分）</w:t>
            </w:r>
          </w:p>
        </w:tc>
        <w:tc>
          <w:tcPr>
            <w:tcW w:w="15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1.1人才培养定位（2分）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1.1.1专业培养目标明确，符合学校定位，适应了地方经济社会或行业发展需求。毕业生的知识、能力和素质要求能对接行业及职业标准，涵盖了本专业应具备的基本知识、能力和要求，能够支撑培养目标的实现。（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bookmarkStart w:id="0" w:name="_GoBack"/>
            <w:bookmarkEnd w:id="0"/>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1.2人才培养方案（2分）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1.2.1人才培养方案反映了先进的教育教学理念，制订过程规范，执行情况良好。课程设置与培养目标相匹配，能够支撑毕业生知识、能力和素质的培养。（2分）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p>
        </w:tc>
        <w:tc>
          <w:tcPr>
            <w:tcW w:w="15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1.3教学中心地位（2分）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1.3.1落实教学工作中心地位，领导精力、师资力量、资源配置、经费安排和工作评价都要体现以教学为中心，完善教师教学工作的约束和激励措施。（2分）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2.师资队伍（23分）</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2.1队伍规模及结构（8分）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2.1.1近四学年，专业建设负责人主要承担与该专业相关的课程教学，主持与本专业相关的市厅级（含）教研或科研项目1项及以上，在专业建设方面作用明显。（2分）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8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2.1.2近一学年，专业生师比≤25:1得2分，</w:t>
            </w:r>
            <w:r>
              <w:rPr>
                <w:rFonts w:hint="eastAsia" w:asciiTheme="minorEastAsia" w:hAnsiTheme="minorEastAsia"/>
                <w:szCs w:val="21"/>
              </w:rPr>
              <w:t>26：1得1.8分，27:1得1.6分，以此类推，最低得0分。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555"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2.1.3具有博士学位的专任教师比例达到年度要求的，得1.5分，每高1％加0.1分，最高得2分；每低1%少得0.1分，最低得0分。</w:t>
            </w:r>
          </w:p>
          <w:p>
            <w:pPr>
              <w:widowControl/>
              <w:jc w:val="left"/>
              <w:rPr>
                <w:rFonts w:cs="宋体" w:asciiTheme="minorEastAsia" w:hAnsiTheme="minorEastAsia"/>
                <w:kern w:val="0"/>
                <w:szCs w:val="21"/>
              </w:rPr>
            </w:pPr>
            <w:r>
              <w:rPr>
                <w:rFonts w:hint="eastAsia" w:cs="宋体" w:asciiTheme="minorEastAsia" w:hAnsiTheme="minorEastAsia"/>
                <w:kern w:val="0"/>
                <w:szCs w:val="21"/>
              </w:rPr>
              <w:t>年度要求为：2016年达15％，2017年达17％，2018年达20％，2019年达25％，2020年达30％。</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744"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spacing w:line="276" w:lineRule="auto"/>
              <w:rPr>
                <w:rFonts w:ascii="宋体" w:hAnsi="宋体"/>
                <w:szCs w:val="21"/>
              </w:rPr>
            </w:pPr>
            <w:r>
              <w:rPr>
                <w:rFonts w:hint="eastAsia" w:ascii="宋体" w:hAnsi="宋体"/>
                <w:szCs w:val="21"/>
              </w:rPr>
              <w:t>2.1.4近一学年，具有副高级及以上职称的专任教师比例≥30%，得2分，每低于1%扣0.1分，最低得0分。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center"/>
              <w:rPr>
                <w:rFonts w:ascii="宋体" w:hAnsi="宋体"/>
                <w:szCs w:val="21"/>
              </w:rPr>
            </w:pPr>
            <w:r>
              <w:rPr>
                <w:rFonts w:hint="eastAsia" w:ascii="宋体" w:hAnsi="宋体"/>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center"/>
              <w:rPr>
                <w:rFonts w:hint="eastAsia" w:ascii="宋体" w:hAnsi="宋体"/>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center"/>
              <w:rPr>
                <w:rFonts w:hint="eastAsia" w:ascii="宋体" w:hAnsi="宋体"/>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center"/>
              <w:rPr>
                <w:rFonts w:hint="eastAsia" w:ascii="宋体" w:hAnsi="宋体"/>
                <w:szCs w:val="21"/>
              </w:rPr>
            </w:pPr>
          </w:p>
        </w:tc>
      </w:tr>
      <w:tr>
        <w:tblPrEx>
          <w:tblLayout w:type="fixed"/>
          <w:tblCellMar>
            <w:top w:w="0" w:type="dxa"/>
            <w:left w:w="108" w:type="dxa"/>
            <w:bottom w:w="0" w:type="dxa"/>
            <w:right w:w="108" w:type="dxa"/>
          </w:tblCellMar>
        </w:tblPrEx>
        <w:trPr>
          <w:trHeight w:val="468"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2.2教师培养（4分）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2.2.1开展教师业务培训工作措施得力，成效明显。（2分）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96"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2.2.2近四学年，获得“访问学者”等教师人才培养项目</w:t>
            </w:r>
            <w:r>
              <w:rPr>
                <w:rFonts w:hint="eastAsia" w:asciiTheme="minorEastAsia" w:hAnsiTheme="minorEastAsia"/>
                <w:szCs w:val="21"/>
              </w:rPr>
              <w:t>，国家级、省级和校级分别得2分、1分、0.5分，最高得2分。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496" w:hRule="atLeast"/>
        </w:trPr>
        <w:tc>
          <w:tcPr>
            <w:tcW w:w="1279" w:type="dxa"/>
            <w:vMerge w:val="continue"/>
            <w:tcBorders>
              <w:left w:val="single" w:color="auto" w:sz="4" w:space="0"/>
              <w:right w:val="single" w:color="auto" w:sz="4" w:space="0"/>
            </w:tcBorders>
            <w:vAlign w:val="center"/>
          </w:tcPr>
          <w:p>
            <w:pPr>
              <w:jc w:val="left"/>
              <w:rPr>
                <w:rFonts w:cs="宋体" w:asciiTheme="minorEastAsia" w:hAnsiTheme="minorEastAsia"/>
                <w:kern w:val="0"/>
                <w:szCs w:val="21"/>
              </w:rPr>
            </w:pP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kern w:val="0"/>
                <w:szCs w:val="21"/>
              </w:rPr>
            </w:pPr>
            <w:r>
              <w:rPr>
                <w:rFonts w:hint="eastAsia" w:cs="宋体" w:asciiTheme="minorEastAsia" w:hAnsiTheme="minorEastAsia"/>
                <w:kern w:val="0"/>
                <w:szCs w:val="21"/>
              </w:rPr>
              <w:t>2.3 双师双能教师引育（4分）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spacing w:line="300" w:lineRule="exact"/>
              <w:jc w:val="left"/>
              <w:rPr>
                <w:rFonts w:asciiTheme="minorEastAsia" w:hAnsiTheme="minorEastAsia"/>
                <w:kern w:val="0"/>
                <w:szCs w:val="21"/>
              </w:rPr>
            </w:pPr>
            <w:r>
              <w:rPr>
                <w:rFonts w:hint="eastAsia" w:asciiTheme="minorEastAsia" w:hAnsiTheme="minorEastAsia"/>
                <w:kern w:val="0"/>
                <w:szCs w:val="21"/>
              </w:rPr>
              <w:t>2.3.1双师双能教师占专任教师比例达到年度标准，得1分。每高2%，加0.1分，最高得2分；每低2%，少得0.1分，最低得0分。</w:t>
            </w:r>
          </w:p>
          <w:p>
            <w:pPr>
              <w:spacing w:line="300" w:lineRule="exact"/>
              <w:jc w:val="left"/>
              <w:rPr>
                <w:rFonts w:cs="宋体" w:asciiTheme="minorEastAsia" w:hAnsiTheme="minorEastAsia"/>
                <w:kern w:val="0"/>
                <w:szCs w:val="21"/>
              </w:rPr>
            </w:pPr>
            <w:r>
              <w:rPr>
                <w:rFonts w:hint="eastAsia" w:asciiTheme="minorEastAsia" w:hAnsiTheme="minorEastAsia"/>
                <w:kern w:val="0"/>
                <w:szCs w:val="21"/>
              </w:rPr>
              <w:t>年度要求为：2016年达到15%，2017年达到20%，2018年达到30%，2019年达到40%，2020年达到50%。</w:t>
            </w:r>
          </w:p>
        </w:tc>
        <w:tc>
          <w:tcPr>
            <w:tcW w:w="52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06" w:hRule="atLeast"/>
        </w:trPr>
        <w:tc>
          <w:tcPr>
            <w:tcW w:w="1279" w:type="dxa"/>
            <w:vMerge w:val="continue"/>
            <w:tcBorders>
              <w:left w:val="single" w:color="auto" w:sz="4" w:space="0"/>
              <w:right w:val="single" w:color="auto" w:sz="4" w:space="0"/>
            </w:tcBorders>
            <w:vAlign w:val="center"/>
          </w:tcPr>
          <w:p>
            <w:pPr>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asciiTheme="minorEastAsia" w:hAnsiTheme="minorEastAsia"/>
                <w:kern w:val="0"/>
                <w:szCs w:val="21"/>
              </w:rPr>
            </w:pPr>
            <w:r>
              <w:rPr>
                <w:rFonts w:hint="eastAsia" w:asciiTheme="minorEastAsia" w:hAnsiTheme="minorEastAsia"/>
                <w:kern w:val="0"/>
                <w:szCs w:val="21"/>
              </w:rPr>
              <w:t>2.3.2</w:t>
            </w:r>
            <w:r>
              <w:rPr>
                <w:rFonts w:hint="eastAsia" w:cs="宋体" w:asciiTheme="minorEastAsia" w:hAnsiTheme="minorEastAsia"/>
                <w:kern w:val="0"/>
                <w:szCs w:val="21"/>
              </w:rPr>
              <w:t>近一学年</w:t>
            </w:r>
            <w:r>
              <w:rPr>
                <w:rFonts w:hint="eastAsia" w:asciiTheme="minorEastAsia" w:hAnsiTheme="minorEastAsia"/>
                <w:kern w:val="0"/>
                <w:szCs w:val="21"/>
              </w:rPr>
              <w:t>，选送教师到企业、行业接受培训、挂职和实践锻炼人数比例达到10%，得1分。每高1%，加0.1分，最高得2分；每低1%，少得0.1分，最低得0分。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48" w:hRule="atLeast"/>
        </w:trPr>
        <w:tc>
          <w:tcPr>
            <w:tcW w:w="1279"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 教师交流访学（4分）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2.4.1近一学年，具有国（境）外教育背景或国（境）外高校、科研机构连续工作1年以上经历的专任教师（不含外籍人士）比例达到5%，得1分。每高1%，加0.2分，最高得2分；每低1%，少得0.2分，最低得0分。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862" w:hRule="atLeast"/>
        </w:trPr>
        <w:tc>
          <w:tcPr>
            <w:tcW w:w="1279"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2.4.2近一学年，以下2项总分，最高得2分，最低得0分。</w:t>
            </w:r>
          </w:p>
          <w:p>
            <w:pPr>
              <w:widowControl/>
              <w:jc w:val="left"/>
              <w:rPr>
                <w:rFonts w:cs="宋体" w:asciiTheme="minorEastAsia" w:hAnsiTheme="minorEastAsia"/>
                <w:kern w:val="0"/>
                <w:szCs w:val="21"/>
              </w:rPr>
            </w:pPr>
            <w:r>
              <w:rPr>
                <w:rFonts w:hint="eastAsia" w:cs="宋体" w:asciiTheme="minorEastAsia" w:hAnsiTheme="minorEastAsia"/>
                <w:kern w:val="0"/>
                <w:szCs w:val="21"/>
              </w:rPr>
              <w:t>①选派中青年教师到国内外访学进修（3个月以上）、在职攻读博士学位达到5%，得1分。每高1%，加0.2分；每低1%，少得0.1分。</w:t>
            </w:r>
          </w:p>
          <w:p>
            <w:pPr>
              <w:jc w:val="left"/>
              <w:rPr>
                <w:rFonts w:cs="宋体" w:asciiTheme="minorEastAsia" w:hAnsiTheme="minorEastAsia"/>
                <w:kern w:val="0"/>
                <w:szCs w:val="21"/>
              </w:rPr>
            </w:pPr>
            <w:r>
              <w:rPr>
                <w:rFonts w:hint="eastAsia" w:cs="宋体" w:asciiTheme="minorEastAsia" w:hAnsiTheme="minorEastAsia"/>
                <w:kern w:val="0"/>
                <w:szCs w:val="21"/>
              </w:rPr>
              <w:t>②选派教师参加国际学术交流比例达到10%，得0.5分。每高1%，加0.2分；每低1%，少得0.1分。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555" w:hRule="atLeast"/>
        </w:trPr>
        <w:tc>
          <w:tcPr>
            <w:tcW w:w="1279"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2.5教师教学能力提升（2分）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2.5.1近四学年，以下2项总分，最高得2分，如有验收不合格的，每项扣1分，本指标扣完为止。</w:t>
            </w:r>
          </w:p>
          <w:p>
            <w:pPr>
              <w:widowControl/>
              <w:jc w:val="left"/>
              <w:rPr>
                <w:rFonts w:cs="宋体" w:asciiTheme="minorEastAsia" w:hAnsiTheme="minorEastAsia"/>
                <w:kern w:val="0"/>
                <w:szCs w:val="21"/>
              </w:rPr>
            </w:pPr>
            <w:r>
              <w:rPr>
                <w:rFonts w:hint="eastAsia" w:cs="宋体" w:asciiTheme="minorEastAsia" w:hAnsiTheme="minorEastAsia"/>
                <w:kern w:val="0"/>
                <w:szCs w:val="21"/>
              </w:rPr>
              <w:t>①获省级及以上教学名师、“特支计划”教学名师1项及以上者得2分；②获国家级、省级、校级教学团队，每项得2分、1分、0.5分。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55" w:hRule="atLeast"/>
        </w:trPr>
        <w:tc>
          <w:tcPr>
            <w:tcW w:w="1279"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2.6教师管理（1分）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spacing w:line="300" w:lineRule="exact"/>
              <w:jc w:val="left"/>
              <w:rPr>
                <w:rFonts w:ascii="宋体" w:hAnsi="宋体" w:cs="宋体"/>
                <w:kern w:val="0"/>
                <w:szCs w:val="21"/>
              </w:rPr>
            </w:pPr>
            <w:r>
              <w:rPr>
                <w:rFonts w:hint="eastAsia" w:ascii="宋体" w:hAnsi="宋体" w:cs="宋体"/>
                <w:kern w:val="0"/>
                <w:szCs w:val="21"/>
              </w:rPr>
              <w:t>2.6.1有教师队伍建设规划且开展顺利成效明显，得0.5分，无规划和方案为0分。参与师德建设活动，成效明显，得0.5分，没有参与师德建设活动或出现严重师德问题的，得0分。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478" w:hRule="atLeast"/>
        </w:trPr>
        <w:tc>
          <w:tcPr>
            <w:tcW w:w="1279" w:type="dxa"/>
            <w:vMerge w:val="restart"/>
            <w:tcBorders>
              <w:left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3.人才培养（33分）</w:t>
            </w: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3.1专业建设（8分）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宋体" w:hAnsi="宋体" w:cs="宋体"/>
                <w:kern w:val="0"/>
                <w:szCs w:val="21"/>
              </w:rPr>
              <w:t>3.1.1有专业及课程建设规划并实施良好</w:t>
            </w:r>
            <w:r>
              <w:rPr>
                <w:rFonts w:hint="eastAsia" w:cs="宋体" w:asciiTheme="minorEastAsia" w:hAnsiTheme="minorEastAsia"/>
                <w:kern w:val="0"/>
                <w:szCs w:val="21"/>
              </w:rPr>
              <w:t>。（2分）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3.1.2引入行业企业标准改造专业、课程及政校行企共建专业情况。(2分)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0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spacing w:line="300" w:lineRule="exact"/>
              <w:jc w:val="left"/>
              <w:rPr>
                <w:rFonts w:ascii="宋体" w:hAnsi="宋体" w:cs="宋体"/>
                <w:kern w:val="0"/>
                <w:szCs w:val="21"/>
              </w:rPr>
            </w:pPr>
            <w:r>
              <w:rPr>
                <w:rFonts w:hint="eastAsia" w:cs="宋体" w:asciiTheme="minorEastAsia" w:hAnsiTheme="minorEastAsia"/>
                <w:kern w:val="0"/>
                <w:szCs w:val="21"/>
              </w:rPr>
              <w:t>3.1.3近四学年，</w:t>
            </w:r>
            <w:r>
              <w:rPr>
                <w:rFonts w:hint="eastAsia" w:asciiTheme="minorEastAsia" w:hAnsiTheme="minorEastAsia"/>
                <w:szCs w:val="21"/>
              </w:rPr>
              <w:t>获优质专业（包括重点学科，重点、特色、品牌专业，综合改革试点专业，示范专业，卓越人才培养计划等），国家级、省级和校级分别得2分、1分、0.5分，最多得4分。</w:t>
            </w:r>
            <w:r>
              <w:rPr>
                <w:rFonts w:hint="eastAsia" w:cs="宋体" w:asciiTheme="minorEastAsia" w:hAnsiTheme="minorEastAsia"/>
                <w:kern w:val="0"/>
                <w:szCs w:val="21"/>
              </w:rPr>
              <w:t>如有验收不合格的，每项扣1分，本指标扣完为止。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788"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3.2课程建设（6分）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宋体" w:hAnsi="宋体" w:cs="宋体"/>
                <w:szCs w:val="21"/>
              </w:rPr>
              <w:t>3.2.1课程教学大纲规范、科学、实用、清晰，具有可操作性，符合人才培养目标定位，执行情况好。（2分）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u w:val="single"/>
              </w:rPr>
            </w:pPr>
            <w:r>
              <w:rPr>
                <w:rFonts w:hint="eastAsia" w:cs="宋体" w:asciiTheme="minorEastAsia" w:hAnsiTheme="minorEastAsia"/>
                <w:kern w:val="0"/>
                <w:szCs w:val="21"/>
                <w:u w:val="single"/>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u w:val="single"/>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u w:val="single"/>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u w:val="single"/>
              </w:rPr>
            </w:pPr>
          </w:p>
        </w:tc>
      </w:tr>
      <w:tr>
        <w:tblPrEx>
          <w:tblLayout w:type="fixed"/>
          <w:tblCellMar>
            <w:top w:w="0" w:type="dxa"/>
            <w:left w:w="108" w:type="dxa"/>
            <w:bottom w:w="0" w:type="dxa"/>
            <w:right w:w="108" w:type="dxa"/>
          </w:tblCellMar>
        </w:tblPrEx>
        <w:trPr>
          <w:trHeight w:val="1201"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kern w:val="0"/>
                <w:szCs w:val="21"/>
              </w:rPr>
            </w:pPr>
            <w:r>
              <w:rPr>
                <w:rFonts w:hint="eastAsia" w:cs="宋体" w:asciiTheme="minorEastAsia" w:hAnsiTheme="minorEastAsia"/>
                <w:kern w:val="0"/>
                <w:szCs w:val="21"/>
              </w:rPr>
              <w:t>3.2.2近四学年，</w:t>
            </w:r>
            <w:r>
              <w:rPr>
                <w:rFonts w:hint="eastAsia" w:asciiTheme="minorEastAsia" w:hAnsiTheme="minorEastAsia"/>
                <w:szCs w:val="21"/>
              </w:rPr>
              <w:t>获</w:t>
            </w:r>
            <w:r>
              <w:rPr>
                <w:rFonts w:hint="eastAsia" w:cs="宋体" w:asciiTheme="minorEastAsia" w:hAnsiTheme="minorEastAsia"/>
                <w:kern w:val="0"/>
                <w:szCs w:val="21"/>
              </w:rPr>
              <w:t>精品开放课程（包括精品资源共享课和精品视频公开课）立项且课程网页运行良好</w:t>
            </w:r>
            <w:r>
              <w:rPr>
                <w:rFonts w:hint="eastAsia" w:asciiTheme="minorEastAsia" w:hAnsiTheme="minorEastAsia"/>
                <w:szCs w:val="21"/>
              </w:rPr>
              <w:t>，国家级、省级和校级分别得2分、1分、0.5分，最多得2分。</w:t>
            </w:r>
            <w:r>
              <w:rPr>
                <w:rFonts w:hint="eastAsia" w:cs="宋体" w:asciiTheme="minorEastAsia" w:hAnsiTheme="minorEastAsia"/>
                <w:kern w:val="0"/>
                <w:szCs w:val="21"/>
              </w:rPr>
              <w:t>如有验收不合格的，每项扣1分，本指标扣完为止。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01"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left"/>
              <w:rPr>
                <w:rFonts w:cs="宋体" w:asciiTheme="minorEastAsia" w:hAnsiTheme="minorEastAsia"/>
                <w:kern w:val="0"/>
                <w:szCs w:val="21"/>
              </w:rPr>
            </w:pPr>
            <w:r>
              <w:rPr>
                <w:rFonts w:hint="eastAsia" w:cs="宋体" w:asciiTheme="minorEastAsia" w:hAnsiTheme="minorEastAsia"/>
                <w:kern w:val="0"/>
                <w:szCs w:val="21"/>
              </w:rPr>
              <w:t>3.2.3近四学年，获国家级、省部级教材立项数</w:t>
            </w:r>
            <w:r>
              <w:rPr>
                <w:rFonts w:hint="eastAsia" w:asciiTheme="minorEastAsia" w:hAnsiTheme="minorEastAsia"/>
                <w:szCs w:val="21"/>
              </w:rPr>
              <w:t>分别得2分、1分，或者近一学年选用学院立项教材以及省部级及以上规划教材、推荐教材、精品教材、获奖教材等优质教材的比例达到</w:t>
            </w:r>
            <w:r>
              <w:rPr>
                <w:rFonts w:asciiTheme="minorEastAsia" w:hAnsiTheme="minorEastAsia"/>
                <w:szCs w:val="21"/>
              </w:rPr>
              <w:t>60%</w:t>
            </w:r>
            <w:r>
              <w:rPr>
                <w:rFonts w:hint="eastAsia" w:asciiTheme="minorEastAsia" w:hAnsiTheme="minorEastAsia"/>
                <w:szCs w:val="21"/>
              </w:rPr>
              <w:t>，得1分，</w:t>
            </w:r>
            <w:r>
              <w:rPr>
                <w:rFonts w:hint="eastAsia" w:cs="宋体" w:asciiTheme="minorEastAsia" w:hAnsiTheme="minorEastAsia"/>
                <w:kern w:val="0"/>
                <w:szCs w:val="21"/>
              </w:rPr>
              <w:t>每高1%，加0.1分</w:t>
            </w:r>
            <w:r>
              <w:rPr>
                <w:rFonts w:hint="eastAsia" w:asciiTheme="minorEastAsia" w:hAnsiTheme="minorEastAsia"/>
                <w:szCs w:val="21"/>
              </w:rPr>
              <w:t>。本指标最高得2分。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48"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3.3实践教学（9分）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3.3.1</w:t>
            </w:r>
            <w:r>
              <w:rPr>
                <w:rFonts w:hint="eastAsia" w:cs="宋体" w:asciiTheme="minorEastAsia" w:hAnsiTheme="minorEastAsia"/>
                <w:szCs w:val="21"/>
              </w:rPr>
              <w:t>近四学年，获国家级、省级、校级实验教学示范中心（包括实践教学基地、实践教育平台和虚拟仿真实验室），</w:t>
            </w:r>
            <w:r>
              <w:rPr>
                <w:rFonts w:hint="eastAsia" w:asciiTheme="minorEastAsia" w:hAnsiTheme="minorEastAsia"/>
                <w:szCs w:val="21"/>
              </w:rPr>
              <w:t>每项分别得2分、1分、0.5分，最多得2分。</w:t>
            </w:r>
            <w:r>
              <w:rPr>
                <w:rFonts w:hint="eastAsia" w:cs="宋体" w:asciiTheme="minorEastAsia" w:hAnsiTheme="minorEastAsia"/>
                <w:kern w:val="0"/>
                <w:szCs w:val="21"/>
              </w:rPr>
              <w:t>如有验收不合格的，每项扣1分，本指标扣完为止。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5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3.3.2近一学年，</w:t>
            </w:r>
            <w:r>
              <w:rPr>
                <w:rFonts w:hint="eastAsia" w:cs="宋体" w:asciiTheme="minorEastAsia" w:hAnsiTheme="minorEastAsia"/>
                <w:szCs w:val="21"/>
              </w:rPr>
              <w:t>签有协议且已经接纳实习生的校外实习基地，每个得0.2分，最多得2分。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70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szCs w:val="21"/>
              </w:rPr>
              <w:t>3.3.3近一学年，校外实习基地接纳实习生占实习学生总数的比例≥10%，得1分，每高于10%加0.5分，最多得2分。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3.3.4面向学生开设创新思维、方法训练类课程及成效（1分）；参与创新创业教育的举措及成效（1分）；创新创业教师队伍建设及成效（1分）。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384"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3.4人才培养模式改革与成效（10分）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3.4.1开展政校行企协同育人的举措和成效。（2分）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48"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szCs w:val="21"/>
              </w:rPr>
              <w:t>3.4.2近四学年，获国家级、省级、校级</w:t>
            </w:r>
            <w:r>
              <w:rPr>
                <w:rFonts w:hint="eastAsia" w:cs="宋体" w:asciiTheme="minorEastAsia" w:hAnsiTheme="minorEastAsia"/>
                <w:kern w:val="0"/>
                <w:szCs w:val="21"/>
              </w:rPr>
              <w:t>协同育人平台（包括人才培养模式创新试验区、</w:t>
            </w:r>
            <w:r>
              <w:rPr>
                <w:rFonts w:hint="eastAsia" w:asciiTheme="minorEastAsia" w:hAnsiTheme="minorEastAsia"/>
                <w:szCs w:val="21"/>
              </w:rPr>
              <w:t>拔尖人才培养计划</w:t>
            </w:r>
            <w:r>
              <w:rPr>
                <w:rFonts w:hint="eastAsia" w:cs="宋体" w:asciiTheme="minorEastAsia" w:hAnsiTheme="minorEastAsia"/>
                <w:kern w:val="0"/>
                <w:szCs w:val="21"/>
              </w:rPr>
              <w:t>）</w:t>
            </w:r>
            <w:r>
              <w:rPr>
                <w:rFonts w:hint="eastAsia" w:cs="宋体" w:asciiTheme="minorEastAsia" w:hAnsiTheme="minorEastAsia"/>
                <w:szCs w:val="21"/>
              </w:rPr>
              <w:t>，</w:t>
            </w:r>
            <w:r>
              <w:rPr>
                <w:rFonts w:hint="eastAsia" w:asciiTheme="minorEastAsia" w:hAnsiTheme="minorEastAsia"/>
                <w:szCs w:val="21"/>
              </w:rPr>
              <w:t>每项分别得2分、1分、0.5分，最多得2分。</w:t>
            </w:r>
            <w:r>
              <w:rPr>
                <w:rFonts w:hint="eastAsia" w:cs="宋体" w:asciiTheme="minorEastAsia" w:hAnsiTheme="minorEastAsia"/>
                <w:kern w:val="0"/>
                <w:szCs w:val="21"/>
              </w:rPr>
              <w:t>如有验收不合格的，每项扣1分，</w:t>
            </w:r>
            <w:r>
              <w:rPr>
                <w:rFonts w:hint="eastAsia" w:asciiTheme="minorEastAsia" w:hAnsiTheme="minorEastAsia"/>
                <w:szCs w:val="21"/>
              </w:rPr>
              <w:t>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486"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3.4.3推动案例教学、项目教学、信息化教学等教学方式的举措和成效。（2分）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3.4.4与国（境）外合作办学、国（境）外优秀教学资源的利用（如教学标准、课程的引进和改造）、学生出国（境）交流学习的举措和成效。（2分）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435" w:hRule="atLeast"/>
        </w:trPr>
        <w:tc>
          <w:tcPr>
            <w:tcW w:w="1279"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3.4.5近四学年，获得省级及以上教学成果奖，得2分。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4.质量保障（20分）</w:t>
            </w: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4.1质量管理（9分）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asciiTheme="minorEastAsia" w:hAnsiTheme="minorEastAsia"/>
                <w:szCs w:val="21"/>
              </w:rPr>
              <w:t>4.1.1管理制度健全，执行严格，效果显著；质量标准完善、合理，涵盖各教学环节；教学质量监控体系科学、完善，运行有效，成效显著。（2分）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512"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jc w:val="left"/>
              <w:rPr>
                <w:rFonts w:cs="宋体" w:asciiTheme="minorEastAsia" w:hAnsiTheme="minorEastAsia"/>
                <w:kern w:val="0"/>
                <w:szCs w:val="21"/>
              </w:rPr>
            </w:pPr>
            <w:r>
              <w:rPr>
                <w:rFonts w:hint="eastAsia" w:cs="宋体" w:asciiTheme="minorEastAsia" w:hAnsiTheme="minorEastAsia"/>
                <w:kern w:val="0"/>
                <w:szCs w:val="21"/>
              </w:rPr>
              <w:t>4.1.2积极引入政校行企参与教学标准制定。(2分)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szCs w:val="21"/>
              </w:rPr>
            </w:pPr>
            <w:r>
              <w:rPr>
                <w:rFonts w:hint="eastAsia" w:cs="宋体" w:asciiTheme="minorEastAsia" w:hAnsiTheme="minorEastAsia"/>
                <w:kern w:val="0"/>
                <w:szCs w:val="21"/>
              </w:rPr>
              <w:t>4.1.3近一学年，学生对教师课堂教学质量评教平均分</w:t>
            </w:r>
            <w:r>
              <w:rPr>
                <w:rFonts w:hint="eastAsia" w:cs="宋体" w:asciiTheme="minorEastAsia" w:hAnsiTheme="minorEastAsia"/>
                <w:szCs w:val="21"/>
              </w:rPr>
              <w:t>≥90分，得1分。平均分每低1分，少得0.1分，最低得0分。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41"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4.1.4近一学年，</w:t>
            </w:r>
            <w:r>
              <w:rPr>
                <w:rFonts w:hint="eastAsia" w:ascii="宋体" w:hAnsi="宋体" w:cs="宋体"/>
                <w:szCs w:val="21"/>
              </w:rPr>
              <w:t>毕业设计（论文）选题来源于生产与社会实践课题比例≥75%，得2分，每下降1%扣0.1分，最低得0分。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宋体" w:hAnsi="宋体" w:cs="宋体"/>
                <w:kern w:val="0"/>
                <w:szCs w:val="21"/>
              </w:rPr>
              <w:t>4.1.5教学管理规范，教学资料齐全，得2分。如近一学年被认定教学管理差错、教学管理事故，每次分别扣0.5分、1分，最低得0分。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48"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4.2培养质量（6分）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4.2.1</w:t>
            </w:r>
            <w:r>
              <w:rPr>
                <w:rFonts w:hint="eastAsia" w:ascii="宋体" w:hAnsi="宋体"/>
                <w:szCs w:val="21"/>
              </w:rPr>
              <w:t>近一学年，</w:t>
            </w:r>
            <w:r>
              <w:rPr>
                <w:rFonts w:hint="eastAsia" w:ascii="宋体" w:hAnsi="宋体" w:cs="宋体"/>
                <w:szCs w:val="21"/>
              </w:rPr>
              <w:t>学生获得省级及以上奖项，每5项得1分；学生作为第一作者公开发表学术论文，每篇得0.2分；学生获批授权专利，每项得1分；公开发表文章与作品，每项得0.1分。本指标最多得4分。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宋体" w:hAnsi="宋体"/>
                <w:szCs w:val="21"/>
              </w:rPr>
              <w:t>4.2.2近一学年，</w:t>
            </w:r>
            <w:r>
              <w:rPr>
                <w:rFonts w:hint="eastAsia" w:ascii="宋体" w:hAnsi="宋体" w:cs="宋体"/>
                <w:szCs w:val="21"/>
              </w:rPr>
              <w:t>学生获大学生创新创业项目，国家级、省级、校级分别得1分、0.6分、0.3分，</w:t>
            </w:r>
            <w:r>
              <w:rPr>
                <w:rFonts w:hint="eastAsia" w:asciiTheme="minorEastAsia" w:hAnsiTheme="minorEastAsia"/>
                <w:szCs w:val="21"/>
              </w:rPr>
              <w:t>最多得2分。</w:t>
            </w:r>
            <w:r>
              <w:rPr>
                <w:rFonts w:hint="eastAsia" w:cs="宋体" w:asciiTheme="minorEastAsia" w:hAnsiTheme="minorEastAsia"/>
                <w:kern w:val="0"/>
                <w:szCs w:val="21"/>
              </w:rPr>
              <w:t>如有验收不合格的，每项扣1分，</w:t>
            </w:r>
            <w:r>
              <w:rPr>
                <w:rFonts w:hint="eastAsia" w:asciiTheme="minorEastAsia" w:hAnsiTheme="minorEastAsia"/>
                <w:szCs w:val="21"/>
              </w:rPr>
              <w:t>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4.3生源质量（2分）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4.3.1近一学年，</w:t>
            </w:r>
            <w:r>
              <w:rPr>
                <w:rFonts w:hint="eastAsia" w:cs="宋体" w:asciiTheme="minorEastAsia" w:hAnsiTheme="minorEastAsia"/>
                <w:szCs w:val="21"/>
              </w:rPr>
              <w:t>第一志愿录取率最高的专业得1分，其他专业按比例计算得分。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Theme="minorEastAsia" w:hAnsiTheme="minorEastAsia"/>
                <w:szCs w:val="21"/>
              </w:rPr>
              <w:t>4.3.2近一学年，</w:t>
            </w:r>
            <w:r>
              <w:rPr>
                <w:rFonts w:hint="eastAsia" w:cs="宋体" w:asciiTheme="minorEastAsia" w:hAnsiTheme="minorEastAsia"/>
                <w:szCs w:val="21"/>
              </w:rPr>
              <w:t>新生报到率最高的专业得1分，其他专业按比例计算得分。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4.4就业质量（3分）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szCs w:val="21"/>
              </w:rPr>
              <w:t xml:space="preserve">4.4.1近一届毕业生考取硕士研究生人数占毕业生总数的比例≥2%，得0.5分，每高于1%加0.1分，最多得1分。 </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2" w:hRule="atLeast"/>
        </w:trPr>
        <w:tc>
          <w:tcPr>
            <w:tcW w:w="1279" w:type="dxa"/>
            <w:vMerge w:val="continue"/>
            <w:tcBorders>
              <w:left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szCs w:val="21"/>
              </w:rPr>
            </w:pPr>
            <w:r>
              <w:rPr>
                <w:rFonts w:hint="eastAsia" w:ascii="宋体" w:hAnsi="宋体"/>
                <w:szCs w:val="21"/>
              </w:rPr>
              <w:t>4.4.2截止9月1日，近一届毕业生就业率达到广东省高校本科毕业生初次就业率的，得2分，每下降1%，扣0.5分，本指标扣完为止。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5.教研科研（14分）</w:t>
            </w: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5.1科研平台（2分）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5.1.1近四年，</w:t>
            </w:r>
            <w:r>
              <w:rPr>
                <w:rFonts w:hint="eastAsia" w:asciiTheme="minorEastAsia" w:hAnsiTheme="minorEastAsia"/>
                <w:szCs w:val="21"/>
              </w:rPr>
              <w:t>获得省级及以上、市级、校级科研平台分别得2分、1分、0.5分，最多得2分。</w:t>
            </w:r>
            <w:r>
              <w:rPr>
                <w:rFonts w:hint="eastAsia" w:cs="宋体" w:asciiTheme="minorEastAsia" w:hAnsiTheme="minorEastAsia"/>
                <w:kern w:val="0"/>
                <w:szCs w:val="21"/>
              </w:rPr>
              <w:t>如评估或验收不合格的，每个平台扣1分，</w:t>
            </w:r>
            <w:r>
              <w:rPr>
                <w:rFonts w:hint="eastAsia" w:asciiTheme="minorEastAsia" w:hAnsiTheme="minorEastAsia"/>
                <w:szCs w:val="21"/>
              </w:rPr>
              <w:t>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5.2</w:t>
            </w:r>
            <w:r>
              <w:rPr>
                <w:rFonts w:hint="eastAsia" w:asciiTheme="minorEastAsia" w:hAnsiTheme="minorEastAsia"/>
                <w:kern w:val="0"/>
                <w:szCs w:val="21"/>
              </w:rPr>
              <w:t>科研成果</w:t>
            </w:r>
            <w:r>
              <w:rPr>
                <w:rFonts w:hint="eastAsia" w:cs="宋体" w:asciiTheme="minorEastAsia" w:hAnsiTheme="minorEastAsia"/>
                <w:kern w:val="0"/>
                <w:szCs w:val="21"/>
              </w:rPr>
              <w:t>（10分）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5.2.1</w:t>
            </w:r>
            <w:r>
              <w:rPr>
                <w:rFonts w:hint="eastAsia" w:asciiTheme="minorEastAsia" w:hAnsiTheme="minorEastAsia"/>
                <w:szCs w:val="21"/>
              </w:rPr>
              <w:t>近四年，年</w:t>
            </w:r>
            <w:r>
              <w:rPr>
                <w:rFonts w:hint="eastAsia" w:cs="宋体" w:asciiTheme="minorEastAsia" w:hAnsiTheme="minorEastAsia"/>
                <w:szCs w:val="21"/>
              </w:rPr>
              <w:t>人均以第一作者及学院名义公开发表论文数≥0.5篇，得1分。每高0.1篇加0.5分，最多得2分。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3"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Theme="minorEastAsia" w:hAnsiTheme="minorEastAsia"/>
                <w:kern w:val="0"/>
                <w:szCs w:val="21"/>
              </w:rPr>
              <w:t>5.2.2</w:t>
            </w:r>
            <w:r>
              <w:rPr>
                <w:rFonts w:hint="eastAsia" w:asciiTheme="minorEastAsia" w:hAnsiTheme="minorEastAsia"/>
                <w:szCs w:val="21"/>
              </w:rPr>
              <w:t>近四年，年</w:t>
            </w:r>
            <w:r>
              <w:rPr>
                <w:rFonts w:hint="eastAsia" w:cs="宋体" w:asciiTheme="minorEastAsia" w:hAnsiTheme="minorEastAsia"/>
                <w:szCs w:val="21"/>
              </w:rPr>
              <w:t>人均以第一作者及学院名义</w:t>
            </w:r>
            <w:r>
              <w:rPr>
                <w:rFonts w:hint="eastAsia" w:cs="宋体" w:asciiTheme="minorEastAsia" w:hAnsiTheme="minorEastAsia"/>
                <w:kern w:val="0"/>
                <w:szCs w:val="21"/>
              </w:rPr>
              <w:t>被SCI、EI、CPCI（ISTP）、SSCI、CSSCI等收录的高水平论文（含公开出版论著）数</w:t>
            </w:r>
            <w:r>
              <w:rPr>
                <w:rFonts w:hint="eastAsia" w:cs="宋体" w:asciiTheme="minorEastAsia" w:hAnsiTheme="minorEastAsia"/>
                <w:szCs w:val="21"/>
              </w:rPr>
              <w:t>≥0.1篇，得1分。每高0.1篇，加0.5分，最多得2分。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1248"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Theme="minorEastAsia" w:hAnsiTheme="minorEastAsia"/>
                <w:kern w:val="0"/>
                <w:szCs w:val="21"/>
              </w:rPr>
              <w:t>5.2.3</w:t>
            </w:r>
            <w:r>
              <w:rPr>
                <w:rFonts w:hint="eastAsia" w:asciiTheme="minorEastAsia" w:hAnsiTheme="minorEastAsia"/>
                <w:szCs w:val="21"/>
              </w:rPr>
              <w:t>近四年，</w:t>
            </w:r>
            <w:r>
              <w:rPr>
                <w:rFonts w:hint="eastAsia" w:cs="宋体" w:asciiTheme="minorEastAsia" w:hAnsiTheme="minorEastAsia"/>
                <w:szCs w:val="21"/>
              </w:rPr>
              <w:t>专任教师主持国家级、省部级、厅局级、校级教研与</w:t>
            </w:r>
            <w:r>
              <w:rPr>
                <w:rFonts w:cs="宋体" w:asciiTheme="minorEastAsia" w:hAnsiTheme="minorEastAsia"/>
                <w:szCs w:val="21"/>
              </w:rPr>
              <w:t>科研</w:t>
            </w:r>
            <w:r>
              <w:rPr>
                <w:rFonts w:hint="eastAsia" w:cs="宋体" w:asciiTheme="minorEastAsia" w:hAnsiTheme="minorEastAsia"/>
                <w:szCs w:val="21"/>
              </w:rPr>
              <w:t>项目（不包括其他指标已统计的教学质量工程项目），每项依次得2分、1分、0.5分、0.1分，</w:t>
            </w:r>
            <w:r>
              <w:rPr>
                <w:rFonts w:hint="eastAsia" w:asciiTheme="minorEastAsia" w:hAnsiTheme="minorEastAsia"/>
                <w:szCs w:val="21"/>
              </w:rPr>
              <w:t>最多得4分。</w:t>
            </w:r>
            <w:r>
              <w:rPr>
                <w:rFonts w:hint="eastAsia" w:cs="宋体" w:asciiTheme="minorEastAsia" w:hAnsiTheme="minorEastAsia"/>
                <w:kern w:val="0"/>
                <w:szCs w:val="21"/>
              </w:rPr>
              <w:t>如有验收不合格的，每项扣1分，</w:t>
            </w:r>
            <w:r>
              <w:rPr>
                <w:rFonts w:hint="eastAsia" w:asciiTheme="minorEastAsia" w:hAnsiTheme="minorEastAsia"/>
                <w:szCs w:val="21"/>
              </w:rPr>
              <w:t>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5.2.4</w:t>
            </w:r>
            <w:r>
              <w:rPr>
                <w:rFonts w:hint="eastAsia" w:asciiTheme="minorEastAsia" w:hAnsiTheme="minorEastAsia"/>
                <w:szCs w:val="21"/>
              </w:rPr>
              <w:t>近四年，</w:t>
            </w:r>
            <w:r>
              <w:rPr>
                <w:rFonts w:hint="eastAsia" w:cs="宋体" w:asciiTheme="minorEastAsia" w:hAnsiTheme="minorEastAsia"/>
                <w:szCs w:val="21"/>
              </w:rPr>
              <w:t>专任教师主持横向科研项目，每项得0.5分，最多得2分。</w:t>
            </w:r>
            <w:r>
              <w:rPr>
                <w:rFonts w:hint="eastAsia" w:cs="宋体" w:asciiTheme="minorEastAsia" w:hAnsiTheme="minorEastAsia"/>
                <w:kern w:val="0"/>
                <w:szCs w:val="21"/>
              </w:rPr>
              <w:t>如有验收不合格的，每项扣1分，</w:t>
            </w:r>
            <w:r>
              <w:rPr>
                <w:rFonts w:hint="eastAsia" w:asciiTheme="minorEastAsia" w:hAnsiTheme="minorEastAsia"/>
                <w:szCs w:val="21"/>
              </w:rPr>
              <w:t>本指标扣完为止。</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5.3 科研经费（2分）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5.3.1</w:t>
            </w:r>
            <w:r>
              <w:rPr>
                <w:rFonts w:hint="eastAsia" w:asciiTheme="minorEastAsia" w:hAnsiTheme="minorEastAsia"/>
                <w:szCs w:val="21"/>
              </w:rPr>
              <w:t>近四年，</w:t>
            </w:r>
            <w:r>
              <w:rPr>
                <w:rFonts w:hint="eastAsia" w:cs="宋体" w:asciiTheme="minorEastAsia" w:hAnsiTheme="minorEastAsia"/>
                <w:szCs w:val="21"/>
              </w:rPr>
              <w:t>专任教师年人均教研与科研项目经费≥0.3万元，得1分，每高于0.1万元，加0.5分，最多得2分。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41" w:hRule="atLeast"/>
        </w:trPr>
        <w:tc>
          <w:tcPr>
            <w:tcW w:w="12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6.社会服务（4分）</w:t>
            </w:r>
          </w:p>
        </w:tc>
        <w:tc>
          <w:tcPr>
            <w:tcW w:w="15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6.1 知识产权（1分）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asciiTheme="minorEastAsia" w:hAnsiTheme="minorEastAsia"/>
                <w:szCs w:val="21"/>
              </w:rPr>
              <w:t>6.1.1</w:t>
            </w:r>
            <w:r>
              <w:rPr>
                <w:rFonts w:hint="eastAsia" w:cs="宋体" w:asciiTheme="minorEastAsia" w:hAnsiTheme="minorEastAsia"/>
                <w:kern w:val="0"/>
                <w:szCs w:val="21"/>
              </w:rPr>
              <w:t>近四年，获得发明专利、软件著作权、经鉴定的科技成果1项及以上，得1分。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6.2 科研服务（3分）</w:t>
            </w: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6.2.1近四年，年人均科研成果转化经费</w:t>
            </w:r>
            <w:r>
              <w:rPr>
                <w:rFonts w:hint="eastAsia" w:cs="宋体" w:asciiTheme="minorEastAsia" w:hAnsiTheme="minorEastAsia"/>
                <w:szCs w:val="21"/>
              </w:rPr>
              <w:t>≥0.1万元/人，得0.5分</w:t>
            </w:r>
            <w:r>
              <w:rPr>
                <w:rFonts w:hint="eastAsia" w:cs="宋体" w:asciiTheme="minorEastAsia" w:hAnsiTheme="minorEastAsia"/>
                <w:kern w:val="0"/>
                <w:szCs w:val="21"/>
              </w:rPr>
              <w:t>，</w:t>
            </w:r>
            <w:r>
              <w:rPr>
                <w:rFonts w:hint="eastAsia" w:cs="宋体" w:asciiTheme="minorEastAsia" w:hAnsiTheme="minorEastAsia"/>
                <w:szCs w:val="21"/>
              </w:rPr>
              <w:t>每高0.1万元，加0.5分，最多得1分。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634"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6.2.2近四年，积极针对经济社会发展现实问题开展政策研究，形成高质量、有影响的咨询报告，得到政府采纳（1分）。</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r>
        <w:tblPrEx>
          <w:tblLayout w:type="fixed"/>
          <w:tblCellMar>
            <w:top w:w="0" w:type="dxa"/>
            <w:left w:w="108" w:type="dxa"/>
            <w:bottom w:w="0" w:type="dxa"/>
            <w:right w:w="108" w:type="dxa"/>
          </w:tblCellMar>
        </w:tblPrEx>
        <w:trPr>
          <w:trHeight w:val="961" w:hRule="atLeast"/>
        </w:trPr>
        <w:tc>
          <w:tcPr>
            <w:tcW w:w="1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Cs w:val="21"/>
              </w:rPr>
            </w:pPr>
          </w:p>
        </w:tc>
        <w:tc>
          <w:tcPr>
            <w:tcW w:w="532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6.2.3近四年，在科研成果转化应用方面有取得良好效益和示范效应的典型案例，且该案例要求是没有体现在其他考核指标当中的。</w:t>
            </w:r>
          </w:p>
        </w:tc>
        <w:tc>
          <w:tcPr>
            <w:tcW w:w="5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4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c>
          <w:tcPr>
            <w:tcW w:w="11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p>
        </w:tc>
      </w:tr>
    </w:tbl>
    <w:p>
      <w:pPr>
        <w:spacing w:line="360" w:lineRule="auto"/>
        <w:ind w:firstLine="420" w:firstLineChars="200"/>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hint="eastAsia" w:ascii="宋体" w:hAnsi="宋体"/>
          <w:szCs w:val="21"/>
        </w:rPr>
        <w:t>（一）评分方法：</w:t>
      </w:r>
    </w:p>
    <w:p>
      <w:pPr>
        <w:spacing w:line="360" w:lineRule="auto"/>
        <w:ind w:firstLine="420" w:firstLineChars="200"/>
        <w:rPr>
          <w:rFonts w:ascii="宋体" w:hAnsi="宋体"/>
          <w:szCs w:val="21"/>
        </w:rPr>
      </w:pPr>
      <w:r>
        <w:rPr>
          <w:rFonts w:hint="eastAsia" w:ascii="宋体" w:hAnsi="宋体"/>
          <w:szCs w:val="21"/>
        </w:rPr>
        <w:t>1.本指标体系</w:t>
      </w:r>
      <w:r>
        <w:rPr>
          <w:rFonts w:ascii="宋体" w:hAnsi="宋体"/>
          <w:szCs w:val="21"/>
        </w:rPr>
        <w:t>采取定量与定性相结合的评价方式，</w:t>
      </w:r>
      <w:r>
        <w:rPr>
          <w:rFonts w:hint="eastAsia" w:ascii="宋体" w:hAnsi="宋体"/>
          <w:szCs w:val="21"/>
        </w:rPr>
        <w:t>定量指标根据</w:t>
      </w:r>
      <w:r>
        <w:rPr>
          <w:rFonts w:ascii="宋体" w:hAnsi="宋体"/>
          <w:szCs w:val="21"/>
        </w:rPr>
        <w:t>数据</w:t>
      </w:r>
      <w:r>
        <w:rPr>
          <w:rFonts w:hint="eastAsia" w:ascii="宋体" w:hAnsi="宋体"/>
          <w:szCs w:val="21"/>
        </w:rPr>
        <w:t>核算该指标得分，</w:t>
      </w:r>
      <w:r>
        <w:rPr>
          <w:rFonts w:ascii="宋体" w:hAnsi="宋体"/>
          <w:szCs w:val="21"/>
        </w:rPr>
        <w:t>定性</w:t>
      </w:r>
      <w:r>
        <w:rPr>
          <w:rFonts w:hint="eastAsia" w:ascii="宋体" w:hAnsi="宋体"/>
          <w:szCs w:val="21"/>
        </w:rPr>
        <w:t>指标由专家根据自评材料，结合</w:t>
      </w:r>
      <w:r>
        <w:t>听取汇报、</w:t>
      </w:r>
      <w:r>
        <w:rPr>
          <w:rFonts w:hint="eastAsia"/>
        </w:rPr>
        <w:t>随堂听课、</w:t>
      </w:r>
      <w:r>
        <w:t>深度访谈、</w:t>
      </w:r>
      <w:r>
        <w:rPr>
          <w:rFonts w:hint="eastAsia"/>
        </w:rPr>
        <w:t>实地考察</w:t>
      </w:r>
      <w:r>
        <w:t>等</w:t>
      </w:r>
      <w:r>
        <w:rPr>
          <w:rFonts w:hint="eastAsia"/>
        </w:rPr>
        <w:t>方式</w:t>
      </w:r>
      <w:r>
        <w:rPr>
          <w:rFonts w:hint="eastAsia" w:ascii="宋体" w:hAnsi="宋体"/>
          <w:szCs w:val="21"/>
        </w:rPr>
        <w:t>给予该指标评价得分</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2.对于指标体系中“1.1.1人才培养定位”等定性指标的评分，“优秀”得该满分值的80%-100%，“较好”得该满分值的60%-79%，“一般”得该满分值的60%以下。如有5名以上专家对单个定性指标评分，去除1个最高分和1个最低分后，计算该指标平均得分。</w:t>
      </w:r>
    </w:p>
    <w:p>
      <w:pPr>
        <w:spacing w:line="360" w:lineRule="auto"/>
        <w:ind w:firstLine="420" w:firstLineChars="200"/>
        <w:rPr>
          <w:rFonts w:ascii="宋体" w:hAnsi="宋体"/>
          <w:szCs w:val="21"/>
        </w:rPr>
      </w:pPr>
      <w:r>
        <w:rPr>
          <w:rFonts w:hint="eastAsia" w:ascii="宋体" w:hAnsi="宋体"/>
          <w:szCs w:val="21"/>
        </w:rPr>
        <w:t>3.参评专业如还没有毕业生，则无需评价“4.4就业质量”，该专业最后得分可按比例换算成百分制。</w:t>
      </w:r>
    </w:p>
    <w:p>
      <w:pPr>
        <w:spacing w:line="360" w:lineRule="auto"/>
        <w:ind w:firstLine="420" w:firstLineChars="200"/>
        <w:rPr>
          <w:rFonts w:hint="eastAsia" w:ascii="宋体" w:hAnsi="宋体"/>
          <w:szCs w:val="21"/>
        </w:rPr>
      </w:pPr>
      <w:r>
        <w:rPr>
          <w:rFonts w:hint="eastAsia" w:ascii="宋体" w:hAnsi="宋体"/>
          <w:szCs w:val="21"/>
        </w:rPr>
        <w:t>（二）统计时间：</w:t>
      </w:r>
    </w:p>
    <w:p>
      <w:pPr>
        <w:spacing w:line="360" w:lineRule="auto"/>
        <w:ind w:firstLine="420" w:firstLineChars="200"/>
        <w:rPr>
          <w:rFonts w:ascii="宋体" w:hAnsi="宋体"/>
          <w:szCs w:val="21"/>
        </w:rPr>
      </w:pPr>
      <w:r>
        <w:rPr>
          <w:rFonts w:hint="eastAsia" w:ascii="宋体" w:hAnsi="宋体"/>
          <w:szCs w:val="21"/>
        </w:rPr>
        <w:t>教研科研的项目、论文、经费一般按自然年度时期统计汇总，即当年1月1日至12月31日；其他教学信息按学年度时期统计汇总，即上年9月1日至本年的8月31日；个别指标需按照规定的时间范围统计汇总，如“近四年”和“近四学年”等；部分指标属于定性评价，则不受时间范围限制，如“1.1办学定位”。</w:t>
      </w:r>
    </w:p>
    <w:p>
      <w:pPr>
        <w:spacing w:line="360" w:lineRule="auto"/>
        <w:ind w:firstLine="420" w:firstLineChars="200"/>
        <w:rPr>
          <w:rFonts w:ascii="宋体" w:hAnsi="宋体"/>
          <w:szCs w:val="21"/>
        </w:rPr>
      </w:pPr>
      <w:r>
        <w:rPr>
          <w:rFonts w:hint="eastAsia" w:ascii="宋体" w:hAnsi="宋体"/>
          <w:szCs w:val="21"/>
        </w:rPr>
        <w:t>（三）指标内涵：</w:t>
      </w:r>
    </w:p>
    <w:p>
      <w:pPr>
        <w:spacing w:line="360" w:lineRule="auto"/>
        <w:ind w:firstLine="420" w:firstLineChars="200"/>
        <w:rPr>
          <w:rFonts w:ascii="宋体" w:hAnsi="宋体"/>
          <w:szCs w:val="21"/>
        </w:rPr>
      </w:pPr>
      <w:r>
        <w:rPr>
          <w:rFonts w:hint="eastAsia" w:ascii="宋体" w:hAnsi="宋体"/>
          <w:szCs w:val="21"/>
        </w:rPr>
        <w:t>1.生师比：计算公式=学生数÷教师总数。教师总数</w:t>
      </w:r>
      <w:r>
        <w:rPr>
          <w:rFonts w:ascii="宋体" w:hAnsi="宋体"/>
          <w:szCs w:val="21"/>
        </w:rPr>
        <w:t>=</w:t>
      </w:r>
      <w:r>
        <w:rPr>
          <w:rFonts w:hint="eastAsia" w:ascii="宋体" w:hAnsi="宋体"/>
          <w:szCs w:val="21"/>
        </w:rPr>
        <w:t>专任教师数</w:t>
      </w:r>
      <w:r>
        <w:rPr>
          <w:rFonts w:ascii="宋体" w:hAnsi="宋体"/>
          <w:szCs w:val="21"/>
        </w:rPr>
        <w:t>+</w:t>
      </w:r>
      <w:r>
        <w:rPr>
          <w:rFonts w:hint="eastAsia" w:ascii="宋体" w:hAnsi="宋体"/>
          <w:szCs w:val="21"/>
        </w:rPr>
        <w:t>外聘教师数</w:t>
      </w:r>
      <w:r>
        <w:rPr>
          <w:rFonts w:ascii="宋体" w:hAnsi="宋体"/>
          <w:szCs w:val="21"/>
        </w:rPr>
        <w:t>*0.5</w:t>
      </w:r>
    </w:p>
    <w:p>
      <w:pPr>
        <w:spacing w:line="360" w:lineRule="auto"/>
        <w:ind w:firstLine="420" w:firstLineChars="200"/>
        <w:rPr>
          <w:rFonts w:ascii="宋体" w:hAnsi="宋体"/>
          <w:szCs w:val="21"/>
        </w:rPr>
      </w:pPr>
      <w:r>
        <w:rPr>
          <w:rFonts w:hint="eastAsia" w:ascii="宋体" w:hAnsi="宋体"/>
          <w:szCs w:val="21"/>
        </w:rPr>
        <w:t>2.专任教师：参照教育部《普通高校基本办学条件指标》（教发〔2004〕2号）和《全国高校教学基本状态数据库（2015年版）》等文件的规定，专任教师指具有教师资格、专职从事教学工作的人员，不包括为参评专业讲授公共课程的教师。院系教师原则上隶属一个专业，在具有专业教育背景、承担专业课授课任务、获得专业业绩成果的情况下，最多可以隶属二个专业。其中，在主体专业作为专任教师，在另一个专业只能作为外聘教师。作为外聘教师时，其荣誉奖项、教研科研等业绩成果不得同时纳入二个专业。每个参评专业隶属二个专业的外聘教师不得超过专任教师总数的四分之一。</w:t>
      </w:r>
    </w:p>
    <w:p>
      <w:pPr>
        <w:spacing w:line="360" w:lineRule="auto"/>
        <w:ind w:firstLine="420" w:firstLineChars="200"/>
        <w:rPr>
          <w:rFonts w:ascii="宋体" w:hAnsi="宋体"/>
          <w:szCs w:val="21"/>
          <w:u w:val="single"/>
        </w:rPr>
      </w:pPr>
      <w:r>
        <w:rPr>
          <w:rFonts w:hint="eastAsia" w:ascii="宋体" w:hAnsi="宋体"/>
          <w:szCs w:val="21"/>
        </w:rPr>
        <w:t>3.外聘教师：参照教育部《普通高校基本办学条件指标》（教发〔2004〕2号）和《高等教育质量监测国家数据平台（2016年版）》等文件的规定，外聘教师指聘请的国内、外其他高校及科研机构、企业、行业等的教师</w:t>
      </w:r>
      <w:r>
        <w:rPr>
          <w:rFonts w:ascii="宋体" w:hAnsi="宋体"/>
          <w:szCs w:val="21"/>
        </w:rPr>
        <w:t>和退休教师（含本校退休教师）</w:t>
      </w:r>
      <w:r>
        <w:rPr>
          <w:rFonts w:hint="eastAsia" w:ascii="宋体" w:hAnsi="宋体"/>
          <w:szCs w:val="21"/>
        </w:rPr>
        <w:t>，聘期为一学期以上。原则上来自校外的外聘教师不超过专任教师总数的四分之一。</w:t>
      </w:r>
    </w:p>
    <w:p>
      <w:pPr>
        <w:spacing w:line="360" w:lineRule="auto"/>
        <w:ind w:firstLine="420" w:firstLineChars="200"/>
        <w:rPr>
          <w:rFonts w:hint="eastAsia" w:ascii="宋体" w:hAnsi="宋体"/>
          <w:szCs w:val="21"/>
        </w:rPr>
      </w:pPr>
      <w:r>
        <w:rPr>
          <w:rFonts w:hint="eastAsia" w:ascii="宋体" w:hAnsi="宋体"/>
          <w:szCs w:val="21"/>
        </w:rPr>
        <w:t>4.双师双能教师：参照《中山大学南方学院“双师型”教师认定与管理办法》统计。</w:t>
      </w:r>
    </w:p>
    <w:p>
      <w:pPr>
        <w:spacing w:line="360" w:lineRule="auto"/>
        <w:ind w:firstLine="420" w:firstLineChars="200"/>
        <w:rPr>
          <w:rFonts w:hint="eastAsia" w:ascii="宋体" w:hAnsi="宋体"/>
          <w:szCs w:val="21"/>
          <w:highlight w:val="yellow"/>
          <w:lang w:val="en-US" w:eastAsia="zh-CN"/>
        </w:rPr>
      </w:pPr>
      <w:r>
        <w:rPr>
          <w:rFonts w:hint="eastAsia" w:ascii="宋体" w:hAnsi="宋体"/>
          <w:szCs w:val="21"/>
          <w:highlight w:val="yellow"/>
          <w:lang w:eastAsia="zh-CN"/>
        </w:rPr>
        <w:t>（</w:t>
      </w:r>
      <w:r>
        <w:rPr>
          <w:rFonts w:hint="eastAsia" w:ascii="宋体" w:hAnsi="宋体"/>
          <w:szCs w:val="21"/>
          <w:highlight w:val="yellow"/>
          <w:lang w:val="en-US" w:eastAsia="zh-CN"/>
        </w:rPr>
        <w:t>四</w:t>
      </w:r>
      <w:r>
        <w:rPr>
          <w:rFonts w:hint="eastAsia" w:ascii="宋体" w:hAnsi="宋体"/>
          <w:szCs w:val="21"/>
          <w:highlight w:val="yellow"/>
          <w:lang w:eastAsia="zh-CN"/>
        </w:rPr>
        <w:t>）</w:t>
      </w:r>
      <w:r>
        <w:rPr>
          <w:rFonts w:hint="eastAsia" w:ascii="宋体" w:hAnsi="宋体"/>
          <w:szCs w:val="21"/>
          <w:highlight w:val="yellow"/>
          <w:lang w:val="en-US" w:eastAsia="zh-CN"/>
        </w:rPr>
        <w:t>总分值及对应等级：</w:t>
      </w:r>
    </w:p>
    <w:p>
      <w:pPr>
        <w:spacing w:line="360" w:lineRule="auto"/>
        <w:ind w:firstLine="420" w:firstLineChars="200"/>
        <w:rPr>
          <w:rFonts w:hint="eastAsia" w:ascii="宋体" w:hAnsi="宋体"/>
          <w:szCs w:val="21"/>
          <w:highlight w:val="yellow"/>
          <w:lang w:val="en-US" w:eastAsia="zh-CN"/>
        </w:rPr>
      </w:pPr>
      <w:r>
        <w:rPr>
          <w:rFonts w:hint="eastAsia" w:ascii="宋体" w:hAnsi="宋体"/>
          <w:szCs w:val="21"/>
          <w:highlight w:val="yellow"/>
          <w:lang w:val="en-US" w:eastAsia="zh-CN"/>
        </w:rPr>
        <w:t>优秀（85分及以上）、良好（70-84）、合格（60-69）、不合格（60以下）。</w:t>
      </w:r>
    </w:p>
    <w:p/>
    <w:sectPr>
      <w:pgSz w:w="16838" w:h="11906" w:orient="landscape"/>
      <w:pgMar w:top="1020" w:right="1134" w:bottom="850" w:left="85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2685"/>
    <w:rsid w:val="03C86F59"/>
    <w:rsid w:val="208C266E"/>
    <w:rsid w:val="29D42685"/>
    <w:rsid w:val="33171AAF"/>
    <w:rsid w:val="390C47A9"/>
    <w:rsid w:val="3A09156E"/>
    <w:rsid w:val="53EA742B"/>
    <w:rsid w:val="5BBB1530"/>
    <w:rsid w:val="702D364B"/>
    <w:rsid w:val="763F4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2017-11-03T03:55:00Z</dcterms:created>
  <dc:creator>linmingxiu</dc:creator>
  <cp:lastModifiedBy>linmingxiu</cp:lastModifiedBy>
  <dcterms:modified xsi:type="dcterms:W3CDTF">2017-11-03T04:06:51Z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