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textAlignment w:val="baseline"/>
        <w:rPr>
          <w:rFonts w:hint="default" w:ascii="Times New Roman" w:hAnsi="Times New Roman" w:eastAsia="微软雅黑" w:cs="Times New Roman"/>
          <w:kern w:val="0"/>
          <w:sz w:val="44"/>
          <w:szCs w:val="44"/>
          <w:lang w:val="zh-TW"/>
        </w:rPr>
      </w:pPr>
    </w:p>
    <w:p>
      <w:pPr>
        <w:widowControl/>
        <w:spacing w:line="560" w:lineRule="exact"/>
        <w:jc w:val="center"/>
        <w:textAlignment w:val="baseline"/>
        <w:rPr>
          <w:rFonts w:hint="default" w:ascii="Times New Roman" w:hAnsi="Times New Roman" w:eastAsia="微软雅黑" w:cs="Times New Roman"/>
          <w:kern w:val="0"/>
          <w:sz w:val="44"/>
          <w:szCs w:val="44"/>
          <w:lang w:val="zh-TW" w:eastAsia="zh-CN"/>
        </w:rPr>
      </w:pPr>
      <w:bookmarkStart w:id="0" w:name="_GoBack"/>
      <w:r>
        <w:rPr>
          <w:rFonts w:hint="eastAsia" w:ascii="Times New Roman" w:hAnsi="Times New Roman" w:eastAsia="微软雅黑" w:cs="Times New Roman"/>
          <w:kern w:val="0"/>
          <w:sz w:val="44"/>
          <w:szCs w:val="44"/>
          <w:lang w:val="en-US" w:eastAsia="zh-CN"/>
        </w:rPr>
        <w:t>全省</w:t>
      </w: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zh-TW" w:eastAsia="zh-CN"/>
        </w:rPr>
        <w:t>第二届高校美育教师教学基本功比赛</w:t>
      </w:r>
    </w:p>
    <w:p>
      <w:pPr>
        <w:widowControl/>
        <w:spacing w:line="560" w:lineRule="exact"/>
        <w:jc w:val="center"/>
        <w:textAlignment w:val="baseline"/>
        <w:rPr>
          <w:rFonts w:hint="default" w:ascii="Times New Roman" w:hAnsi="Times New Roman" w:eastAsia="微软雅黑" w:cs="Times New Roman"/>
          <w:kern w:val="0"/>
          <w:sz w:val="44"/>
          <w:szCs w:val="44"/>
          <w:lang w:val="zh-TW" w:eastAsia="zh-TW"/>
        </w:rPr>
      </w:pPr>
      <w:r>
        <w:rPr>
          <w:rFonts w:hint="eastAsia" w:ascii="Times New Roman" w:hAnsi="Times New Roman" w:eastAsia="微软雅黑" w:cs="Times New Roman"/>
          <w:kern w:val="0"/>
          <w:sz w:val="44"/>
          <w:szCs w:val="44"/>
          <w:lang w:val="en-US" w:eastAsia="zh-CN"/>
        </w:rPr>
        <w:t>校级选拔赛</w:t>
      </w: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zh-TW" w:eastAsia="zh-TW"/>
        </w:rPr>
        <w:t>评</w:t>
      </w: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en-US" w:eastAsia="zh-CN"/>
        </w:rPr>
        <w:t>审</w:t>
      </w: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zh-TW" w:eastAsia="zh-TW"/>
        </w:rPr>
        <w:t>标准</w:t>
      </w:r>
    </w:p>
    <w:bookmarkEnd w:id="0"/>
    <w:p>
      <w:pPr>
        <w:widowControl/>
        <w:spacing w:line="560" w:lineRule="exact"/>
        <w:jc w:val="center"/>
        <w:textAlignment w:val="baseline"/>
        <w:rPr>
          <w:rFonts w:hint="default" w:ascii="Times New Roman" w:hAnsi="Times New Roman" w:eastAsia="微软雅黑" w:cs="Times New Roman"/>
          <w:kern w:val="0"/>
          <w:sz w:val="44"/>
          <w:szCs w:val="44"/>
          <w:lang w:val="zh-TW" w:eastAsia="zh-TW"/>
        </w:rPr>
      </w:pP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6717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评价维度</w:t>
            </w:r>
          </w:p>
        </w:tc>
        <w:tc>
          <w:tcPr>
            <w:tcW w:w="6717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评价要点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分值占比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教学设计</w:t>
            </w:r>
          </w:p>
        </w:tc>
        <w:tc>
          <w:tcPr>
            <w:tcW w:w="6717" w:type="dxa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目标制定和教学过程详细具体，针对教学主题的重点难点，有针对性地设计解决方案，内容系统，逻辑性强。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717" w:type="dxa"/>
            <w:noWrap w:val="0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突出学校、学生特点，教学过程设计新颖，各环节衔接紧密，体现教为学服务。</w:t>
            </w: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专业技能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展示</w:t>
            </w:r>
          </w:p>
        </w:tc>
        <w:tc>
          <w:tcPr>
            <w:tcW w:w="6717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能展示本学段专业教学所需的专业技术水平。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717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textAlignment w:val="baseline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能表现所选作品的艺术内涵。</w:t>
            </w: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WQ3ZjZhZWQyODRhZjNlMzU0ZDE3YzFkMzgyYmYifQ=="/>
  </w:docVars>
  <w:rsids>
    <w:rsidRoot w:val="1B5F4EBB"/>
    <w:rsid w:val="1B5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2024-04-26T12:12:00Z</dcterms:created>
  <dc:creator>芋苼</dc:creator>
  <cp:lastModifiedBy>芋苼</cp:lastModifiedBy>
  <dcterms:modified xsi:type="dcterms:W3CDTF">2024-04-26T12:13:10Z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E91F9C1E0D0F451F877A765661AE1FF0_11</vt:lpwstr>
  </property>
</Properties>
</file>